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9C0" w:rsidRDefault="00DB39C0" w:rsidP="00DB39C0">
      <w:pPr>
        <w:adjustRightInd w:val="0"/>
        <w:snapToGrid w:val="0"/>
        <w:spacing w:line="560" w:lineRule="exact"/>
        <w:jc w:val="center"/>
        <w:rPr>
          <w:rFonts w:ascii="方正小标宋_GBK" w:eastAsia="方正小标宋_GBK"/>
          <w:sz w:val="36"/>
          <w:szCs w:val="36"/>
        </w:rPr>
      </w:pPr>
      <w:r w:rsidRPr="00CF434A">
        <w:rPr>
          <w:rFonts w:ascii="方正小标宋_GBK" w:eastAsia="方正小标宋_GBK" w:hint="eastAsia"/>
          <w:sz w:val="36"/>
          <w:szCs w:val="36"/>
        </w:rPr>
        <w:t>2020年度国家</w:t>
      </w:r>
      <w:r>
        <w:rPr>
          <w:rFonts w:ascii="方正小标宋_GBK" w:eastAsia="方正小标宋_GBK" w:hint="eastAsia"/>
          <w:sz w:val="36"/>
          <w:szCs w:val="36"/>
        </w:rPr>
        <w:t>科技</w:t>
      </w:r>
      <w:r>
        <w:rPr>
          <w:rFonts w:ascii="方正小标宋_GBK" w:eastAsia="方正小标宋_GBK"/>
          <w:sz w:val="36"/>
          <w:szCs w:val="36"/>
        </w:rPr>
        <w:t>进步</w:t>
      </w:r>
      <w:r w:rsidRPr="00CF434A">
        <w:rPr>
          <w:rFonts w:ascii="方正小标宋_GBK" w:eastAsia="方正小标宋_GBK" w:hint="eastAsia"/>
          <w:sz w:val="36"/>
          <w:szCs w:val="36"/>
        </w:rPr>
        <w:t>奖提名项目公示内容</w:t>
      </w:r>
    </w:p>
    <w:p w:rsidR="00DB39C0" w:rsidRPr="00CF434A" w:rsidRDefault="00DB39C0" w:rsidP="00DB39C0">
      <w:pPr>
        <w:adjustRightInd w:val="0"/>
        <w:snapToGrid w:val="0"/>
        <w:spacing w:line="560" w:lineRule="exact"/>
        <w:jc w:val="center"/>
        <w:rPr>
          <w:rFonts w:ascii="方正小标宋_GBK" w:eastAsia="方正小标宋_GBK" w:hint="eastAsia"/>
          <w:sz w:val="36"/>
          <w:szCs w:val="36"/>
        </w:rPr>
      </w:pPr>
    </w:p>
    <w:p w:rsidR="00890E22" w:rsidRPr="00D13D91" w:rsidRDefault="00890E22" w:rsidP="00A931CD">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1.</w:t>
      </w:r>
      <w:r w:rsidRPr="00D13D91">
        <w:rPr>
          <w:rFonts w:ascii="方正仿宋_GBK" w:eastAsia="方正仿宋_GBK" w:hint="eastAsia"/>
          <w:b/>
          <w:sz w:val="32"/>
          <w:szCs w:val="32"/>
        </w:rPr>
        <w:t>项目名称：</w:t>
      </w:r>
      <w:bookmarkStart w:id="0" w:name="_GoBack"/>
      <w:r w:rsidRPr="00890E22">
        <w:rPr>
          <w:rFonts w:ascii="方正仿宋_GBK" w:eastAsia="方正仿宋_GBK" w:hint="eastAsia"/>
          <w:sz w:val="32"/>
          <w:szCs w:val="32"/>
        </w:rPr>
        <w:t>晚熟柑橘高效生产关键技术创新与应用</w:t>
      </w:r>
      <w:bookmarkEnd w:id="0"/>
    </w:p>
    <w:p w:rsidR="00890E22" w:rsidRPr="00D13D91" w:rsidRDefault="00890E22" w:rsidP="00A931CD">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2.</w:t>
      </w:r>
      <w:r w:rsidRPr="00D13D91">
        <w:rPr>
          <w:rFonts w:ascii="方正仿宋_GBK" w:eastAsia="方正仿宋_GBK" w:hint="eastAsia"/>
          <w:b/>
          <w:sz w:val="32"/>
          <w:szCs w:val="32"/>
        </w:rPr>
        <w:t>提名单位：</w:t>
      </w:r>
      <w:r>
        <w:rPr>
          <w:rFonts w:ascii="方正仿宋_GBK" w:eastAsia="方正仿宋_GBK" w:hint="eastAsia"/>
          <w:sz w:val="32"/>
          <w:szCs w:val="32"/>
        </w:rPr>
        <w:t>重庆市</w:t>
      </w:r>
    </w:p>
    <w:p w:rsidR="00890E22" w:rsidRPr="00D13D91" w:rsidRDefault="00890E22" w:rsidP="00A931CD">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3.</w:t>
      </w:r>
      <w:r w:rsidRPr="00D13D91">
        <w:rPr>
          <w:rFonts w:ascii="方正仿宋_GBK" w:eastAsia="方正仿宋_GBK" w:hint="eastAsia"/>
          <w:b/>
          <w:sz w:val="32"/>
          <w:szCs w:val="32"/>
        </w:rPr>
        <w:t>提名等级：</w:t>
      </w:r>
      <w:r w:rsidRPr="00656286">
        <w:rPr>
          <w:rFonts w:ascii="方正仿宋_GBK" w:eastAsia="方正仿宋_GBK" w:hint="eastAsia"/>
          <w:sz w:val="32"/>
          <w:szCs w:val="32"/>
        </w:rPr>
        <w:t>国家科技进步二等奖</w:t>
      </w:r>
    </w:p>
    <w:p w:rsidR="00890E22" w:rsidRPr="00890E22" w:rsidRDefault="00890E22" w:rsidP="00A931CD">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4.</w:t>
      </w:r>
      <w:r w:rsidRPr="00D13D91">
        <w:rPr>
          <w:rFonts w:ascii="方正仿宋_GBK" w:eastAsia="方正仿宋_GBK"/>
          <w:b/>
          <w:sz w:val="32"/>
          <w:szCs w:val="32"/>
        </w:rPr>
        <w:t>主要知识产权和标准规范</w:t>
      </w:r>
      <w:r w:rsidRPr="00D13D91">
        <w:rPr>
          <w:rFonts w:ascii="方正仿宋_GBK" w:eastAsia="方正仿宋_GBK" w:hint="eastAsia"/>
          <w:b/>
          <w:sz w:val="32"/>
          <w:szCs w:val="32"/>
        </w:rPr>
        <w:t>目录：</w:t>
      </w:r>
    </w:p>
    <w:tbl>
      <w:tblPr>
        <w:tblW w:w="942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039"/>
        <w:gridCol w:w="967"/>
        <w:gridCol w:w="820"/>
        <w:gridCol w:w="849"/>
        <w:gridCol w:w="992"/>
        <w:gridCol w:w="1004"/>
        <w:gridCol w:w="1547"/>
        <w:gridCol w:w="1321"/>
        <w:gridCol w:w="885"/>
      </w:tblGrid>
      <w:tr w:rsidR="00890E22" w:rsidRPr="00532DFB" w:rsidTr="00227EBB">
        <w:trPr>
          <w:trHeight w:val="680"/>
          <w:jc w:val="center"/>
        </w:trPr>
        <w:tc>
          <w:tcPr>
            <w:tcW w:w="1039" w:type="dxa"/>
            <w:vAlign w:val="center"/>
          </w:tcPr>
          <w:p w:rsidR="00890E22" w:rsidRPr="00B32924" w:rsidRDefault="00890E22" w:rsidP="00227EBB">
            <w:pPr>
              <w:pStyle w:val="a4"/>
              <w:spacing w:line="320" w:lineRule="atLeast"/>
              <w:ind w:firstLineChars="0" w:firstLine="0"/>
              <w:jc w:val="center"/>
              <w:rPr>
                <w:rFonts w:asciiTheme="minorEastAsia" w:eastAsiaTheme="minorEastAsia" w:hAnsiTheme="minorEastAsia" w:cstheme="minorEastAsia"/>
                <w:b/>
                <w:sz w:val="21"/>
                <w:szCs w:val="21"/>
              </w:rPr>
            </w:pPr>
            <w:r w:rsidRPr="00B32924">
              <w:rPr>
                <w:rFonts w:asciiTheme="minorEastAsia" w:eastAsiaTheme="minorEastAsia" w:hAnsiTheme="minorEastAsia" w:cstheme="minorEastAsia" w:hint="eastAsia"/>
                <w:b/>
                <w:sz w:val="21"/>
                <w:szCs w:val="21"/>
              </w:rPr>
              <w:t>知识产权（标准）类别</w:t>
            </w:r>
          </w:p>
        </w:tc>
        <w:tc>
          <w:tcPr>
            <w:tcW w:w="967" w:type="dxa"/>
            <w:vAlign w:val="center"/>
          </w:tcPr>
          <w:p w:rsidR="00890E22" w:rsidRPr="00B32924" w:rsidRDefault="00890E22" w:rsidP="00227EBB">
            <w:pPr>
              <w:pStyle w:val="a4"/>
              <w:spacing w:line="320" w:lineRule="atLeast"/>
              <w:ind w:firstLineChars="0" w:firstLine="0"/>
              <w:jc w:val="center"/>
              <w:rPr>
                <w:rFonts w:asciiTheme="minorEastAsia" w:eastAsiaTheme="minorEastAsia" w:hAnsiTheme="minorEastAsia" w:cstheme="minorEastAsia"/>
                <w:b/>
                <w:sz w:val="21"/>
                <w:szCs w:val="21"/>
              </w:rPr>
            </w:pPr>
            <w:r w:rsidRPr="00B32924">
              <w:rPr>
                <w:rFonts w:asciiTheme="minorEastAsia" w:eastAsiaTheme="minorEastAsia" w:hAnsiTheme="minorEastAsia" w:cstheme="minorEastAsia" w:hint="eastAsia"/>
                <w:b/>
                <w:sz w:val="21"/>
                <w:szCs w:val="21"/>
              </w:rPr>
              <w:t>知识产权（标准）具体名称</w:t>
            </w:r>
          </w:p>
        </w:tc>
        <w:tc>
          <w:tcPr>
            <w:tcW w:w="820" w:type="dxa"/>
            <w:vAlign w:val="center"/>
          </w:tcPr>
          <w:p w:rsidR="00890E22" w:rsidRPr="00B32924" w:rsidRDefault="00890E22" w:rsidP="00227EBB">
            <w:pPr>
              <w:pStyle w:val="a4"/>
              <w:spacing w:line="320" w:lineRule="atLeast"/>
              <w:ind w:firstLineChars="0" w:firstLine="0"/>
              <w:jc w:val="center"/>
              <w:rPr>
                <w:rFonts w:asciiTheme="minorEastAsia" w:eastAsiaTheme="minorEastAsia" w:hAnsiTheme="minorEastAsia" w:cstheme="minorEastAsia"/>
                <w:b/>
                <w:sz w:val="21"/>
                <w:szCs w:val="21"/>
              </w:rPr>
            </w:pPr>
            <w:r w:rsidRPr="00B32924">
              <w:rPr>
                <w:rFonts w:asciiTheme="minorEastAsia" w:eastAsiaTheme="minorEastAsia" w:hAnsiTheme="minorEastAsia" w:cstheme="minorEastAsia" w:hint="eastAsia"/>
                <w:b/>
                <w:sz w:val="21"/>
                <w:szCs w:val="21"/>
              </w:rPr>
              <w:t>国家</w:t>
            </w:r>
          </w:p>
          <w:p w:rsidR="00890E22" w:rsidRPr="00B32924" w:rsidRDefault="00890E22" w:rsidP="00227EBB">
            <w:pPr>
              <w:pStyle w:val="a4"/>
              <w:spacing w:line="320" w:lineRule="atLeast"/>
              <w:ind w:firstLineChars="0" w:firstLine="0"/>
              <w:jc w:val="center"/>
              <w:rPr>
                <w:rFonts w:asciiTheme="minorEastAsia" w:eastAsiaTheme="minorEastAsia" w:hAnsiTheme="minorEastAsia" w:cstheme="minorEastAsia"/>
                <w:b/>
                <w:sz w:val="21"/>
                <w:szCs w:val="21"/>
              </w:rPr>
            </w:pPr>
            <w:r w:rsidRPr="00B32924">
              <w:rPr>
                <w:rFonts w:asciiTheme="minorEastAsia" w:eastAsiaTheme="minorEastAsia" w:hAnsiTheme="minorEastAsia" w:cstheme="minorEastAsia" w:hint="eastAsia"/>
                <w:b/>
                <w:sz w:val="21"/>
                <w:szCs w:val="21"/>
              </w:rPr>
              <w:t>（地区）</w:t>
            </w:r>
          </w:p>
        </w:tc>
        <w:tc>
          <w:tcPr>
            <w:tcW w:w="849" w:type="dxa"/>
            <w:vAlign w:val="center"/>
          </w:tcPr>
          <w:p w:rsidR="00890E22" w:rsidRPr="00B32924" w:rsidRDefault="00890E22" w:rsidP="00227EBB">
            <w:pPr>
              <w:pStyle w:val="a4"/>
              <w:spacing w:line="320" w:lineRule="atLeast"/>
              <w:ind w:firstLineChars="0" w:firstLine="0"/>
              <w:jc w:val="center"/>
              <w:rPr>
                <w:rFonts w:asciiTheme="minorEastAsia" w:eastAsiaTheme="minorEastAsia" w:hAnsiTheme="minorEastAsia" w:cstheme="minorEastAsia"/>
                <w:b/>
                <w:sz w:val="21"/>
                <w:szCs w:val="21"/>
              </w:rPr>
            </w:pPr>
            <w:r w:rsidRPr="00B32924">
              <w:rPr>
                <w:rFonts w:asciiTheme="minorEastAsia" w:eastAsiaTheme="minorEastAsia" w:hAnsiTheme="minorEastAsia" w:cstheme="minorEastAsia" w:hint="eastAsia"/>
                <w:b/>
                <w:sz w:val="21"/>
                <w:szCs w:val="21"/>
              </w:rPr>
              <w:t>授权号（标准编号）</w:t>
            </w:r>
          </w:p>
        </w:tc>
        <w:tc>
          <w:tcPr>
            <w:tcW w:w="992" w:type="dxa"/>
            <w:vAlign w:val="center"/>
          </w:tcPr>
          <w:p w:rsidR="00890E22" w:rsidRPr="00B32924" w:rsidRDefault="00890E22" w:rsidP="00227EBB">
            <w:pPr>
              <w:pStyle w:val="a4"/>
              <w:spacing w:line="320" w:lineRule="atLeast"/>
              <w:ind w:firstLineChars="0" w:firstLine="0"/>
              <w:jc w:val="center"/>
              <w:rPr>
                <w:rFonts w:asciiTheme="minorEastAsia" w:eastAsiaTheme="minorEastAsia" w:hAnsiTheme="minorEastAsia" w:cstheme="minorEastAsia"/>
                <w:b/>
                <w:sz w:val="21"/>
                <w:szCs w:val="21"/>
              </w:rPr>
            </w:pPr>
            <w:r w:rsidRPr="00B32924">
              <w:rPr>
                <w:rFonts w:asciiTheme="minorEastAsia" w:eastAsiaTheme="minorEastAsia" w:hAnsiTheme="minorEastAsia" w:cstheme="minorEastAsia" w:hint="eastAsia"/>
                <w:b/>
                <w:sz w:val="21"/>
                <w:szCs w:val="21"/>
              </w:rPr>
              <w:t>授权（标准发布）日期</w:t>
            </w:r>
          </w:p>
        </w:tc>
        <w:tc>
          <w:tcPr>
            <w:tcW w:w="1004" w:type="dxa"/>
            <w:vAlign w:val="center"/>
          </w:tcPr>
          <w:p w:rsidR="00890E22" w:rsidRPr="00B32924" w:rsidRDefault="00890E22" w:rsidP="00227EBB">
            <w:pPr>
              <w:pStyle w:val="a4"/>
              <w:spacing w:line="320" w:lineRule="atLeast"/>
              <w:ind w:firstLineChars="0" w:firstLine="0"/>
              <w:jc w:val="center"/>
              <w:rPr>
                <w:rFonts w:asciiTheme="minorEastAsia" w:eastAsiaTheme="minorEastAsia" w:hAnsiTheme="minorEastAsia" w:cstheme="minorEastAsia"/>
                <w:b/>
                <w:sz w:val="21"/>
                <w:szCs w:val="21"/>
              </w:rPr>
            </w:pPr>
            <w:r w:rsidRPr="00B32924">
              <w:rPr>
                <w:rFonts w:asciiTheme="minorEastAsia" w:eastAsiaTheme="minorEastAsia" w:hAnsiTheme="minorEastAsia" w:cstheme="minorEastAsia" w:hint="eastAsia"/>
                <w:b/>
                <w:sz w:val="21"/>
                <w:szCs w:val="21"/>
              </w:rPr>
              <w:t>证书编号（标准批准发布部门）</w:t>
            </w:r>
          </w:p>
        </w:tc>
        <w:tc>
          <w:tcPr>
            <w:tcW w:w="1547" w:type="dxa"/>
            <w:vAlign w:val="center"/>
          </w:tcPr>
          <w:p w:rsidR="00890E22" w:rsidRPr="00B32924" w:rsidRDefault="00890E22" w:rsidP="00227EBB">
            <w:pPr>
              <w:pStyle w:val="a4"/>
              <w:spacing w:line="320" w:lineRule="atLeast"/>
              <w:ind w:firstLineChars="0" w:firstLine="0"/>
              <w:jc w:val="center"/>
              <w:rPr>
                <w:rFonts w:asciiTheme="minorEastAsia" w:eastAsiaTheme="minorEastAsia" w:hAnsiTheme="minorEastAsia" w:cstheme="minorEastAsia"/>
                <w:b/>
                <w:sz w:val="21"/>
                <w:szCs w:val="21"/>
              </w:rPr>
            </w:pPr>
            <w:r w:rsidRPr="00B32924">
              <w:rPr>
                <w:rFonts w:asciiTheme="minorEastAsia" w:eastAsiaTheme="minorEastAsia" w:hAnsiTheme="minorEastAsia" w:cstheme="minorEastAsia" w:hint="eastAsia"/>
                <w:b/>
                <w:sz w:val="21"/>
                <w:szCs w:val="21"/>
              </w:rPr>
              <w:t>权利人（标准起草单位）</w:t>
            </w:r>
          </w:p>
        </w:tc>
        <w:tc>
          <w:tcPr>
            <w:tcW w:w="1321" w:type="dxa"/>
            <w:vAlign w:val="center"/>
          </w:tcPr>
          <w:p w:rsidR="00890E22" w:rsidRPr="00B32924" w:rsidRDefault="00890E22" w:rsidP="00227EBB">
            <w:pPr>
              <w:pStyle w:val="a4"/>
              <w:spacing w:line="320" w:lineRule="atLeast"/>
              <w:ind w:firstLineChars="0" w:firstLine="0"/>
              <w:jc w:val="center"/>
              <w:rPr>
                <w:rFonts w:asciiTheme="minorEastAsia" w:eastAsiaTheme="minorEastAsia" w:hAnsiTheme="minorEastAsia" w:cstheme="minorEastAsia"/>
                <w:b/>
                <w:sz w:val="21"/>
                <w:szCs w:val="21"/>
              </w:rPr>
            </w:pPr>
            <w:r w:rsidRPr="00B32924">
              <w:rPr>
                <w:rFonts w:asciiTheme="minorEastAsia" w:eastAsiaTheme="minorEastAsia" w:hAnsiTheme="minorEastAsia" w:cstheme="minorEastAsia" w:hint="eastAsia"/>
                <w:b/>
                <w:sz w:val="21"/>
                <w:szCs w:val="21"/>
              </w:rPr>
              <w:t>发明人（标准起草人）</w:t>
            </w:r>
          </w:p>
        </w:tc>
        <w:tc>
          <w:tcPr>
            <w:tcW w:w="885" w:type="dxa"/>
            <w:vAlign w:val="center"/>
          </w:tcPr>
          <w:p w:rsidR="00890E22" w:rsidRPr="00B32924" w:rsidRDefault="00890E22" w:rsidP="00227EBB">
            <w:pPr>
              <w:pStyle w:val="a4"/>
              <w:spacing w:line="320" w:lineRule="atLeast"/>
              <w:ind w:firstLineChars="0" w:firstLine="0"/>
              <w:jc w:val="center"/>
              <w:rPr>
                <w:rFonts w:asciiTheme="minorEastAsia" w:eastAsiaTheme="minorEastAsia" w:hAnsiTheme="minorEastAsia" w:cstheme="minorEastAsia"/>
                <w:b/>
                <w:sz w:val="21"/>
                <w:szCs w:val="21"/>
              </w:rPr>
            </w:pPr>
            <w:r w:rsidRPr="00B32924">
              <w:rPr>
                <w:rFonts w:asciiTheme="minorEastAsia" w:eastAsiaTheme="minorEastAsia" w:hAnsiTheme="minorEastAsia" w:cstheme="minorEastAsia" w:hint="eastAsia"/>
                <w:b/>
                <w:sz w:val="21"/>
                <w:szCs w:val="21"/>
              </w:rPr>
              <w:t>发明专利（标准）有效状态</w:t>
            </w:r>
          </w:p>
        </w:tc>
      </w:tr>
      <w:tr w:rsidR="00890E22" w:rsidRPr="002D27E6" w:rsidTr="00227EBB">
        <w:trPr>
          <w:trHeight w:val="1021"/>
          <w:jc w:val="center"/>
        </w:trPr>
        <w:tc>
          <w:tcPr>
            <w:tcW w:w="1039"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发明专利</w:t>
            </w:r>
          </w:p>
        </w:tc>
        <w:tc>
          <w:tcPr>
            <w:tcW w:w="967"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一种越冬柑橘保果防枯水的方法</w:t>
            </w:r>
          </w:p>
        </w:tc>
        <w:tc>
          <w:tcPr>
            <w:tcW w:w="820"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中国</w:t>
            </w:r>
          </w:p>
        </w:tc>
        <w:tc>
          <w:tcPr>
            <w:tcW w:w="849"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ZL201310278538.4</w:t>
            </w:r>
          </w:p>
        </w:tc>
        <w:tc>
          <w:tcPr>
            <w:tcW w:w="992"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2015-09-30</w:t>
            </w:r>
          </w:p>
        </w:tc>
        <w:tc>
          <w:tcPr>
            <w:tcW w:w="1004"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第1804694号</w:t>
            </w:r>
          </w:p>
        </w:tc>
        <w:tc>
          <w:tcPr>
            <w:tcW w:w="1547"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重庆市农业技术推广总站</w:t>
            </w:r>
          </w:p>
        </w:tc>
        <w:tc>
          <w:tcPr>
            <w:tcW w:w="1321"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熊伟*；夏仁斌*；冯洋；吴正亮；孔文斌</w:t>
            </w:r>
          </w:p>
        </w:tc>
        <w:tc>
          <w:tcPr>
            <w:tcW w:w="885"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有效专利</w:t>
            </w:r>
          </w:p>
        </w:tc>
      </w:tr>
      <w:tr w:rsidR="00890E22" w:rsidRPr="002D27E6" w:rsidTr="00227EBB">
        <w:trPr>
          <w:trHeight w:val="1021"/>
          <w:jc w:val="center"/>
        </w:trPr>
        <w:tc>
          <w:tcPr>
            <w:tcW w:w="1039" w:type="dxa"/>
            <w:vAlign w:val="center"/>
          </w:tcPr>
          <w:p w:rsidR="00890E22" w:rsidRPr="00B32924" w:rsidRDefault="00890E22" w:rsidP="00227EBB">
            <w:pPr>
              <w:spacing w:line="320" w:lineRule="atLeast"/>
              <w:rPr>
                <w:rFonts w:asciiTheme="minorEastAsia" w:hAnsiTheme="minorEastAsia"/>
                <w:szCs w:val="21"/>
              </w:rPr>
            </w:pPr>
            <w:r w:rsidRPr="00B32924">
              <w:rPr>
                <w:rFonts w:asciiTheme="minorEastAsia" w:hAnsiTheme="minorEastAsia" w:hint="eastAsia"/>
                <w:szCs w:val="21"/>
              </w:rPr>
              <w:t>论文</w:t>
            </w:r>
          </w:p>
        </w:tc>
        <w:tc>
          <w:tcPr>
            <w:tcW w:w="967" w:type="dxa"/>
            <w:vAlign w:val="center"/>
          </w:tcPr>
          <w:p w:rsidR="00890E22" w:rsidRPr="00B32924" w:rsidRDefault="00890E22" w:rsidP="00227EBB">
            <w:pPr>
              <w:spacing w:line="320" w:lineRule="atLeast"/>
              <w:rPr>
                <w:rFonts w:asciiTheme="minorEastAsia" w:hAnsiTheme="minorEastAsia"/>
                <w:szCs w:val="21"/>
              </w:rPr>
            </w:pPr>
            <w:r w:rsidRPr="00B32924">
              <w:rPr>
                <w:rFonts w:asciiTheme="minorEastAsia" w:hAnsiTheme="minorEastAsia" w:hint="eastAsia"/>
                <w:szCs w:val="21"/>
              </w:rPr>
              <w:t>晚熟柑橘冬季落果 成因及保果防落果 新技术研究</w:t>
            </w:r>
          </w:p>
        </w:tc>
        <w:tc>
          <w:tcPr>
            <w:tcW w:w="820" w:type="dxa"/>
            <w:vAlign w:val="center"/>
          </w:tcPr>
          <w:p w:rsidR="00890E22" w:rsidRPr="00B32924" w:rsidRDefault="00890E22" w:rsidP="00227EBB">
            <w:pPr>
              <w:spacing w:line="320" w:lineRule="atLeast"/>
              <w:rPr>
                <w:rFonts w:asciiTheme="minorEastAsia" w:hAnsiTheme="minorEastAsia"/>
                <w:szCs w:val="21"/>
              </w:rPr>
            </w:pPr>
            <w:r w:rsidRPr="00B32924">
              <w:rPr>
                <w:rFonts w:asciiTheme="minorEastAsia" w:hAnsiTheme="minorEastAsia" w:hint="eastAsia"/>
                <w:szCs w:val="21"/>
              </w:rPr>
              <w:t>中国</w:t>
            </w:r>
          </w:p>
        </w:tc>
        <w:tc>
          <w:tcPr>
            <w:tcW w:w="849" w:type="dxa"/>
            <w:vAlign w:val="center"/>
          </w:tcPr>
          <w:p w:rsidR="00890E22" w:rsidRPr="00B32924" w:rsidRDefault="00890E22" w:rsidP="00227EBB">
            <w:pPr>
              <w:spacing w:line="320" w:lineRule="atLeast"/>
              <w:rPr>
                <w:rFonts w:asciiTheme="minorEastAsia" w:hAnsiTheme="minorEastAsia"/>
                <w:szCs w:val="21"/>
              </w:rPr>
            </w:pPr>
            <w:r w:rsidRPr="00B32924">
              <w:rPr>
                <w:rFonts w:asciiTheme="minorEastAsia" w:hAnsiTheme="minorEastAsia" w:hint="eastAsia"/>
                <w:szCs w:val="21"/>
              </w:rPr>
              <w:t>2016,4 1(10):3 2-38.</w:t>
            </w:r>
          </w:p>
        </w:tc>
        <w:tc>
          <w:tcPr>
            <w:tcW w:w="992" w:type="dxa"/>
            <w:vAlign w:val="center"/>
          </w:tcPr>
          <w:p w:rsidR="00890E22" w:rsidRPr="00B32924" w:rsidRDefault="00890E22" w:rsidP="00227EBB">
            <w:pPr>
              <w:spacing w:line="320" w:lineRule="atLeast"/>
              <w:rPr>
                <w:rFonts w:asciiTheme="minorEastAsia" w:hAnsiTheme="minorEastAsia"/>
                <w:szCs w:val="21"/>
              </w:rPr>
            </w:pPr>
            <w:r w:rsidRPr="00B32924">
              <w:rPr>
                <w:rFonts w:asciiTheme="minorEastAsia" w:hAnsiTheme="minorEastAsia" w:hint="eastAsia"/>
                <w:szCs w:val="21"/>
              </w:rPr>
              <w:t>2016年 10月01日</w:t>
            </w:r>
          </w:p>
        </w:tc>
        <w:tc>
          <w:tcPr>
            <w:tcW w:w="1004" w:type="dxa"/>
            <w:vAlign w:val="center"/>
          </w:tcPr>
          <w:p w:rsidR="00890E22" w:rsidRPr="00B32924" w:rsidRDefault="00890E22" w:rsidP="00227EBB">
            <w:pPr>
              <w:spacing w:line="320" w:lineRule="atLeast"/>
              <w:rPr>
                <w:rFonts w:asciiTheme="minorEastAsia" w:hAnsiTheme="minorEastAsia"/>
                <w:szCs w:val="21"/>
              </w:rPr>
            </w:pPr>
            <w:r w:rsidRPr="00B32924">
              <w:rPr>
                <w:rFonts w:asciiTheme="minorEastAsia" w:hAnsiTheme="minorEastAsia" w:hint="eastAsia"/>
                <w:szCs w:val="21"/>
              </w:rPr>
              <w:t>西南师范大学学报（自 然科学版）</w:t>
            </w:r>
          </w:p>
        </w:tc>
        <w:tc>
          <w:tcPr>
            <w:tcW w:w="1547" w:type="dxa"/>
            <w:vAlign w:val="center"/>
          </w:tcPr>
          <w:p w:rsidR="00890E22" w:rsidRPr="00B32924" w:rsidRDefault="00890E22" w:rsidP="00227EBB">
            <w:pPr>
              <w:spacing w:line="320" w:lineRule="atLeast"/>
              <w:rPr>
                <w:rFonts w:asciiTheme="minorEastAsia" w:hAnsiTheme="minorEastAsia"/>
                <w:szCs w:val="21"/>
              </w:rPr>
            </w:pPr>
            <w:r w:rsidRPr="00B32924">
              <w:rPr>
                <w:rFonts w:asciiTheme="minorEastAsia" w:hAnsiTheme="minorEastAsia" w:hint="eastAsia"/>
                <w:szCs w:val="21"/>
              </w:rPr>
              <w:t>重庆市农业技 术推广总站 ，巫山县特色经作生产管理站，中国农业科学院柑橘研究所，全国农 业技术推广服 务中心</w:t>
            </w:r>
          </w:p>
        </w:tc>
        <w:tc>
          <w:tcPr>
            <w:tcW w:w="1321" w:type="dxa"/>
            <w:vAlign w:val="center"/>
          </w:tcPr>
          <w:p w:rsidR="00890E22" w:rsidRPr="00B32924" w:rsidRDefault="00890E22" w:rsidP="00227EBB">
            <w:pPr>
              <w:spacing w:line="320" w:lineRule="atLeast"/>
              <w:rPr>
                <w:rFonts w:asciiTheme="minorEastAsia" w:hAnsiTheme="minorEastAsia"/>
                <w:szCs w:val="21"/>
              </w:rPr>
            </w:pPr>
            <w:r w:rsidRPr="00B32924">
              <w:rPr>
                <w:rFonts w:asciiTheme="minorEastAsia" w:hAnsiTheme="minorEastAsia" w:hint="eastAsia"/>
                <w:szCs w:val="21"/>
              </w:rPr>
              <w:t>冯洋,熊伟*,黄明,彭良志*,李莉,夏仁斌*,淳长品*,孔文斌,陈伟</w:t>
            </w:r>
          </w:p>
        </w:tc>
        <w:tc>
          <w:tcPr>
            <w:tcW w:w="885" w:type="dxa"/>
            <w:vAlign w:val="center"/>
          </w:tcPr>
          <w:p w:rsidR="00890E22" w:rsidRPr="00B32924" w:rsidRDefault="00890E22" w:rsidP="00227EBB">
            <w:pPr>
              <w:spacing w:line="320" w:lineRule="atLeast"/>
              <w:rPr>
                <w:rFonts w:asciiTheme="minorEastAsia" w:hAnsiTheme="minorEastAsia"/>
                <w:szCs w:val="21"/>
              </w:rPr>
            </w:pPr>
            <w:r w:rsidRPr="00B32924">
              <w:rPr>
                <w:rFonts w:asciiTheme="minorEastAsia" w:hAnsiTheme="minorEastAsia" w:hint="eastAsia"/>
                <w:color w:val="000000" w:themeColor="text1"/>
                <w:szCs w:val="21"/>
              </w:rPr>
              <w:t>有效的其他知识产权</w:t>
            </w:r>
          </w:p>
        </w:tc>
      </w:tr>
      <w:tr w:rsidR="00890E22" w:rsidRPr="002D27E6" w:rsidTr="00227EBB">
        <w:trPr>
          <w:trHeight w:val="488"/>
          <w:jc w:val="center"/>
        </w:trPr>
        <w:tc>
          <w:tcPr>
            <w:tcW w:w="1039"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行业标准</w:t>
            </w:r>
          </w:p>
        </w:tc>
        <w:tc>
          <w:tcPr>
            <w:tcW w:w="967"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农作物种质资源鉴定技术规程  柑橘</w:t>
            </w:r>
          </w:p>
        </w:tc>
        <w:tc>
          <w:tcPr>
            <w:tcW w:w="820"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中国</w:t>
            </w:r>
          </w:p>
        </w:tc>
        <w:tc>
          <w:tcPr>
            <w:tcW w:w="849"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NY/T1486-2007</w:t>
            </w:r>
          </w:p>
        </w:tc>
        <w:tc>
          <w:tcPr>
            <w:tcW w:w="992"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2007-12-18</w:t>
            </w:r>
          </w:p>
        </w:tc>
        <w:tc>
          <w:tcPr>
            <w:tcW w:w="1004"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ICS65.020 B04</w:t>
            </w:r>
          </w:p>
        </w:tc>
        <w:tc>
          <w:tcPr>
            <w:tcW w:w="1547"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农业部</w:t>
            </w:r>
          </w:p>
        </w:tc>
        <w:tc>
          <w:tcPr>
            <w:tcW w:w="1321"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江东*、焦必宁、陈竹生、王成秋、龚桂芝、洪棋斌、叶庆亮、钱永贵</w:t>
            </w:r>
          </w:p>
        </w:tc>
        <w:tc>
          <w:tcPr>
            <w:tcW w:w="885"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有效的其他知识产权</w:t>
            </w:r>
          </w:p>
        </w:tc>
      </w:tr>
      <w:tr w:rsidR="00890E22" w:rsidRPr="002D27E6" w:rsidTr="00227EBB">
        <w:trPr>
          <w:trHeight w:val="1021"/>
          <w:jc w:val="center"/>
        </w:trPr>
        <w:tc>
          <w:tcPr>
            <w:tcW w:w="1039"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发明专利</w:t>
            </w:r>
          </w:p>
        </w:tc>
        <w:tc>
          <w:tcPr>
            <w:tcW w:w="967"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一种沃柑的栽培方法</w:t>
            </w:r>
          </w:p>
        </w:tc>
        <w:tc>
          <w:tcPr>
            <w:tcW w:w="820"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中国</w:t>
            </w:r>
          </w:p>
        </w:tc>
        <w:tc>
          <w:tcPr>
            <w:tcW w:w="849"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ZL201510608813.3</w:t>
            </w:r>
          </w:p>
        </w:tc>
        <w:tc>
          <w:tcPr>
            <w:tcW w:w="992"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2017年11月14日</w:t>
            </w:r>
          </w:p>
        </w:tc>
        <w:tc>
          <w:tcPr>
            <w:tcW w:w="1004"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第2695599号</w:t>
            </w:r>
          </w:p>
        </w:tc>
        <w:tc>
          <w:tcPr>
            <w:tcW w:w="1547"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广西壮族自治区农业科学院园艺研究所</w:t>
            </w:r>
          </w:p>
        </w:tc>
        <w:tc>
          <w:tcPr>
            <w:tcW w:w="1321"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黄其椿*、陈香玲、陈东奎*</w:t>
            </w:r>
          </w:p>
        </w:tc>
        <w:tc>
          <w:tcPr>
            <w:tcW w:w="885"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有效专利</w:t>
            </w:r>
          </w:p>
        </w:tc>
      </w:tr>
      <w:tr w:rsidR="00890E22" w:rsidRPr="0015720A" w:rsidTr="00227EBB">
        <w:trPr>
          <w:trHeight w:val="1021"/>
          <w:jc w:val="center"/>
        </w:trPr>
        <w:tc>
          <w:tcPr>
            <w:tcW w:w="1039"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发明专利</w:t>
            </w:r>
          </w:p>
        </w:tc>
        <w:tc>
          <w:tcPr>
            <w:tcW w:w="967"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一种用于缺镁诱导纽荷尔脐</w:t>
            </w:r>
            <w:r w:rsidRPr="00B32924">
              <w:rPr>
                <w:rFonts w:asciiTheme="minorEastAsia" w:eastAsiaTheme="minorEastAsia" w:hAnsiTheme="minorEastAsia" w:hint="eastAsia"/>
                <w:color w:val="000000" w:themeColor="text1"/>
                <w:sz w:val="21"/>
                <w:szCs w:val="21"/>
              </w:rPr>
              <w:lastRenderedPageBreak/>
              <w:t>橙叶脉爆裂的方法</w:t>
            </w:r>
          </w:p>
        </w:tc>
        <w:tc>
          <w:tcPr>
            <w:tcW w:w="820"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lastRenderedPageBreak/>
              <w:t>中国</w:t>
            </w:r>
          </w:p>
        </w:tc>
        <w:tc>
          <w:tcPr>
            <w:tcW w:w="849"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ZL201510681686.X</w:t>
            </w:r>
          </w:p>
        </w:tc>
        <w:tc>
          <w:tcPr>
            <w:tcW w:w="992"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2018-10-26</w:t>
            </w:r>
          </w:p>
        </w:tc>
        <w:tc>
          <w:tcPr>
            <w:tcW w:w="1004"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第3122313号</w:t>
            </w:r>
          </w:p>
        </w:tc>
        <w:tc>
          <w:tcPr>
            <w:tcW w:w="1547"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西南大学柑桔研究所</w:t>
            </w:r>
          </w:p>
        </w:tc>
        <w:tc>
          <w:tcPr>
            <w:tcW w:w="1321"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凌丽俐，彭良志*,淳长品*，曹立，江才伦，付</w:t>
            </w:r>
            <w:r w:rsidRPr="00B32924">
              <w:rPr>
                <w:rFonts w:asciiTheme="minorEastAsia" w:eastAsiaTheme="minorEastAsia" w:hAnsiTheme="minorEastAsia" w:hint="eastAsia"/>
                <w:color w:val="000000" w:themeColor="text1"/>
                <w:sz w:val="21"/>
                <w:szCs w:val="21"/>
              </w:rPr>
              <w:lastRenderedPageBreak/>
              <w:t>行政</w:t>
            </w:r>
          </w:p>
        </w:tc>
        <w:tc>
          <w:tcPr>
            <w:tcW w:w="885"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lastRenderedPageBreak/>
              <w:t>有效专利</w:t>
            </w:r>
          </w:p>
        </w:tc>
      </w:tr>
      <w:tr w:rsidR="00890E22" w:rsidRPr="0015720A" w:rsidTr="00227EBB">
        <w:trPr>
          <w:trHeight w:val="1021"/>
          <w:jc w:val="center"/>
        </w:trPr>
        <w:tc>
          <w:tcPr>
            <w:tcW w:w="1039"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发明专利</w:t>
            </w:r>
          </w:p>
        </w:tc>
        <w:tc>
          <w:tcPr>
            <w:tcW w:w="967"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一种柑橘叶面锌肥及其制备方法和使用方法</w:t>
            </w:r>
          </w:p>
        </w:tc>
        <w:tc>
          <w:tcPr>
            <w:tcW w:w="820"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中国</w:t>
            </w:r>
          </w:p>
        </w:tc>
        <w:tc>
          <w:tcPr>
            <w:tcW w:w="849"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ZL201310124991.x</w:t>
            </w:r>
          </w:p>
        </w:tc>
        <w:tc>
          <w:tcPr>
            <w:tcW w:w="992"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2015-05-20</w:t>
            </w:r>
          </w:p>
        </w:tc>
        <w:tc>
          <w:tcPr>
            <w:tcW w:w="1004"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第1669888号</w:t>
            </w:r>
          </w:p>
        </w:tc>
        <w:tc>
          <w:tcPr>
            <w:tcW w:w="1547"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西南大学柑桔研究所</w:t>
            </w:r>
          </w:p>
        </w:tc>
        <w:tc>
          <w:tcPr>
            <w:tcW w:w="1321"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付行政，彭良志*,曹立，凌丽俐，淳长品*，江才伦</w:t>
            </w:r>
          </w:p>
        </w:tc>
        <w:tc>
          <w:tcPr>
            <w:tcW w:w="885"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有效专利</w:t>
            </w:r>
          </w:p>
        </w:tc>
      </w:tr>
      <w:tr w:rsidR="00890E22" w:rsidRPr="002D27E6" w:rsidTr="00227EBB">
        <w:trPr>
          <w:trHeight w:val="1021"/>
          <w:jc w:val="center"/>
        </w:trPr>
        <w:tc>
          <w:tcPr>
            <w:tcW w:w="1039"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行业标准</w:t>
            </w:r>
          </w:p>
        </w:tc>
        <w:tc>
          <w:tcPr>
            <w:tcW w:w="967"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农作物优异资源评价规范  柑橘</w:t>
            </w:r>
          </w:p>
        </w:tc>
        <w:tc>
          <w:tcPr>
            <w:tcW w:w="820"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中国</w:t>
            </w:r>
          </w:p>
        </w:tc>
        <w:tc>
          <w:tcPr>
            <w:tcW w:w="849"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NY/T 2030-2011</w:t>
            </w:r>
          </w:p>
        </w:tc>
        <w:tc>
          <w:tcPr>
            <w:tcW w:w="992"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2011-09-01</w:t>
            </w:r>
          </w:p>
        </w:tc>
        <w:tc>
          <w:tcPr>
            <w:tcW w:w="1004"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ICS 65.020.20 B 05</w:t>
            </w:r>
          </w:p>
        </w:tc>
        <w:tc>
          <w:tcPr>
            <w:tcW w:w="1547"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农业部</w:t>
            </w:r>
          </w:p>
        </w:tc>
        <w:tc>
          <w:tcPr>
            <w:tcW w:w="1321"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江东*、焦必宁、江用文、王成秋、龚桂芝、熊兴平、洪棋斌、曹立</w:t>
            </w:r>
          </w:p>
        </w:tc>
        <w:tc>
          <w:tcPr>
            <w:tcW w:w="885"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有效的其他知识产权</w:t>
            </w:r>
          </w:p>
        </w:tc>
      </w:tr>
      <w:tr w:rsidR="00890E22" w:rsidRPr="002D27E6" w:rsidTr="00227EBB">
        <w:trPr>
          <w:trHeight w:val="1021"/>
          <w:jc w:val="center"/>
        </w:trPr>
        <w:tc>
          <w:tcPr>
            <w:tcW w:w="1039"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行业标准</w:t>
            </w:r>
          </w:p>
        </w:tc>
        <w:tc>
          <w:tcPr>
            <w:tcW w:w="967"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植物新品种特异性、一致性和稳定性测试指南  柑橘</w:t>
            </w:r>
          </w:p>
        </w:tc>
        <w:tc>
          <w:tcPr>
            <w:tcW w:w="820"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中国</w:t>
            </w:r>
          </w:p>
        </w:tc>
        <w:tc>
          <w:tcPr>
            <w:tcW w:w="849"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 xml:space="preserve">NY/T 2435-2013 </w:t>
            </w:r>
          </w:p>
        </w:tc>
        <w:tc>
          <w:tcPr>
            <w:tcW w:w="992"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2013-09-10</w:t>
            </w:r>
          </w:p>
        </w:tc>
        <w:tc>
          <w:tcPr>
            <w:tcW w:w="1004"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ICS 65.020.20  B 05</w:t>
            </w:r>
          </w:p>
        </w:tc>
        <w:tc>
          <w:tcPr>
            <w:tcW w:w="1547"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农业部</w:t>
            </w:r>
          </w:p>
        </w:tc>
        <w:tc>
          <w:tcPr>
            <w:tcW w:w="1321"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陈竹生、江东*、崔野韩、李喜庆、郭天池、卢志红、沈丽娟、张戈壁</w:t>
            </w:r>
          </w:p>
        </w:tc>
        <w:tc>
          <w:tcPr>
            <w:tcW w:w="885"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color w:val="000000" w:themeColor="text1"/>
                <w:sz w:val="21"/>
                <w:szCs w:val="21"/>
              </w:rPr>
            </w:pPr>
            <w:r w:rsidRPr="00B32924">
              <w:rPr>
                <w:rFonts w:asciiTheme="minorEastAsia" w:eastAsiaTheme="minorEastAsia" w:hAnsiTheme="minorEastAsia" w:hint="eastAsia"/>
                <w:color w:val="000000" w:themeColor="text1"/>
                <w:sz w:val="21"/>
                <w:szCs w:val="21"/>
              </w:rPr>
              <w:t>有效的其他知识产权</w:t>
            </w:r>
          </w:p>
        </w:tc>
      </w:tr>
      <w:tr w:rsidR="00890E22" w:rsidRPr="00D822A2" w:rsidTr="00227EBB">
        <w:trPr>
          <w:trHeight w:val="1021"/>
          <w:jc w:val="center"/>
        </w:trPr>
        <w:tc>
          <w:tcPr>
            <w:tcW w:w="1039"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sz w:val="21"/>
                <w:szCs w:val="21"/>
              </w:rPr>
            </w:pPr>
            <w:r w:rsidRPr="00B32924">
              <w:rPr>
                <w:rFonts w:asciiTheme="minorEastAsia" w:eastAsiaTheme="minorEastAsia" w:hAnsiTheme="minorEastAsia" w:hint="eastAsia"/>
                <w:sz w:val="21"/>
                <w:szCs w:val="21"/>
              </w:rPr>
              <w:t>地方标准</w:t>
            </w:r>
          </w:p>
        </w:tc>
        <w:tc>
          <w:tcPr>
            <w:tcW w:w="967"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sz w:val="21"/>
                <w:szCs w:val="21"/>
              </w:rPr>
            </w:pPr>
            <w:r w:rsidRPr="00B32924">
              <w:rPr>
                <w:rFonts w:asciiTheme="minorEastAsia" w:eastAsiaTheme="minorEastAsia" w:hAnsiTheme="minorEastAsia" w:hint="eastAsia"/>
                <w:sz w:val="21"/>
                <w:szCs w:val="21"/>
              </w:rPr>
              <w:t>柑橘营养诊断配方施肥技术规程</w:t>
            </w:r>
          </w:p>
        </w:tc>
        <w:tc>
          <w:tcPr>
            <w:tcW w:w="820"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sz w:val="21"/>
                <w:szCs w:val="21"/>
              </w:rPr>
            </w:pPr>
            <w:r w:rsidRPr="00B32924">
              <w:rPr>
                <w:rFonts w:asciiTheme="minorEastAsia" w:eastAsiaTheme="minorEastAsia" w:hAnsiTheme="minorEastAsia" w:hint="eastAsia"/>
                <w:sz w:val="21"/>
                <w:szCs w:val="21"/>
              </w:rPr>
              <w:t>中国</w:t>
            </w:r>
          </w:p>
        </w:tc>
        <w:tc>
          <w:tcPr>
            <w:tcW w:w="849"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sz w:val="21"/>
                <w:szCs w:val="21"/>
              </w:rPr>
            </w:pPr>
            <w:r w:rsidRPr="00B32924">
              <w:rPr>
                <w:rFonts w:asciiTheme="minorEastAsia" w:eastAsiaTheme="minorEastAsia" w:hAnsiTheme="minorEastAsia" w:hint="eastAsia"/>
                <w:sz w:val="21"/>
                <w:szCs w:val="21"/>
              </w:rPr>
              <w:t>DB50/T487-2012</w:t>
            </w:r>
          </w:p>
        </w:tc>
        <w:tc>
          <w:tcPr>
            <w:tcW w:w="992"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sz w:val="21"/>
                <w:szCs w:val="21"/>
              </w:rPr>
            </w:pPr>
            <w:r w:rsidRPr="00B32924">
              <w:rPr>
                <w:rFonts w:asciiTheme="minorEastAsia" w:eastAsiaTheme="minorEastAsia" w:hAnsiTheme="minorEastAsia" w:hint="eastAsia"/>
                <w:sz w:val="21"/>
                <w:szCs w:val="21"/>
              </w:rPr>
              <w:t>2013-03-01</w:t>
            </w:r>
          </w:p>
        </w:tc>
        <w:tc>
          <w:tcPr>
            <w:tcW w:w="1004"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sz w:val="21"/>
                <w:szCs w:val="21"/>
              </w:rPr>
            </w:pPr>
            <w:r w:rsidRPr="00B32924">
              <w:rPr>
                <w:rFonts w:asciiTheme="minorEastAsia" w:eastAsiaTheme="minorEastAsia" w:hAnsiTheme="minorEastAsia" w:hint="eastAsia"/>
                <w:sz w:val="21"/>
                <w:szCs w:val="21"/>
              </w:rPr>
              <w:t>33641-2013</w:t>
            </w:r>
          </w:p>
        </w:tc>
        <w:tc>
          <w:tcPr>
            <w:tcW w:w="1547"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sz w:val="21"/>
                <w:szCs w:val="21"/>
              </w:rPr>
            </w:pPr>
            <w:r w:rsidRPr="00B32924">
              <w:rPr>
                <w:rFonts w:asciiTheme="minorEastAsia" w:eastAsiaTheme="minorEastAsia" w:hAnsiTheme="minorEastAsia" w:hint="eastAsia"/>
                <w:sz w:val="21"/>
                <w:szCs w:val="21"/>
              </w:rPr>
              <w:t>重庆市质量技术监督局</w:t>
            </w:r>
          </w:p>
        </w:tc>
        <w:tc>
          <w:tcPr>
            <w:tcW w:w="1321"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sz w:val="21"/>
                <w:szCs w:val="21"/>
              </w:rPr>
            </w:pPr>
            <w:r w:rsidRPr="00B32924">
              <w:rPr>
                <w:rFonts w:asciiTheme="minorEastAsia" w:eastAsiaTheme="minorEastAsia" w:hAnsiTheme="minorEastAsia" w:hint="eastAsia"/>
                <w:sz w:val="21"/>
                <w:szCs w:val="21"/>
              </w:rPr>
              <w:t>熊伟*、彭良志*、夏仁斌*、淳长品*、冯洋</w:t>
            </w:r>
          </w:p>
        </w:tc>
        <w:tc>
          <w:tcPr>
            <w:tcW w:w="885"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sz w:val="21"/>
                <w:szCs w:val="21"/>
              </w:rPr>
            </w:pPr>
            <w:r w:rsidRPr="00B32924">
              <w:rPr>
                <w:rFonts w:asciiTheme="minorEastAsia" w:eastAsiaTheme="minorEastAsia" w:hAnsiTheme="minorEastAsia" w:hint="eastAsia"/>
                <w:color w:val="000000" w:themeColor="text1"/>
                <w:sz w:val="21"/>
                <w:szCs w:val="21"/>
              </w:rPr>
              <w:t>有效的其他知识产权</w:t>
            </w:r>
          </w:p>
        </w:tc>
      </w:tr>
      <w:tr w:rsidR="00890E22" w:rsidRPr="00E65C7C" w:rsidTr="00227EBB">
        <w:trPr>
          <w:trHeight w:val="555"/>
          <w:jc w:val="center"/>
        </w:trPr>
        <w:tc>
          <w:tcPr>
            <w:tcW w:w="1039"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sz w:val="21"/>
                <w:szCs w:val="21"/>
              </w:rPr>
            </w:pPr>
            <w:r w:rsidRPr="00B32924">
              <w:rPr>
                <w:rFonts w:asciiTheme="minorEastAsia" w:eastAsiaTheme="minorEastAsia" w:hAnsiTheme="minorEastAsia" w:hint="eastAsia"/>
                <w:sz w:val="21"/>
                <w:szCs w:val="21"/>
              </w:rPr>
              <w:t>地方标准</w:t>
            </w:r>
          </w:p>
        </w:tc>
        <w:tc>
          <w:tcPr>
            <w:tcW w:w="967"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sz w:val="21"/>
                <w:szCs w:val="21"/>
              </w:rPr>
            </w:pPr>
            <w:r w:rsidRPr="00B32924">
              <w:rPr>
                <w:rFonts w:asciiTheme="minorEastAsia" w:eastAsiaTheme="minorEastAsia" w:hAnsiTheme="minorEastAsia" w:hint="eastAsia"/>
                <w:sz w:val="21"/>
                <w:szCs w:val="21"/>
              </w:rPr>
              <w:t>高接沃柑技术规程</w:t>
            </w:r>
          </w:p>
        </w:tc>
        <w:tc>
          <w:tcPr>
            <w:tcW w:w="820"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sz w:val="21"/>
                <w:szCs w:val="21"/>
              </w:rPr>
            </w:pPr>
            <w:r w:rsidRPr="00B32924">
              <w:rPr>
                <w:rFonts w:asciiTheme="minorEastAsia" w:eastAsiaTheme="minorEastAsia" w:hAnsiTheme="minorEastAsia" w:hint="eastAsia"/>
                <w:sz w:val="21"/>
                <w:szCs w:val="21"/>
              </w:rPr>
              <w:t>中国</w:t>
            </w:r>
          </w:p>
        </w:tc>
        <w:tc>
          <w:tcPr>
            <w:tcW w:w="849"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sz w:val="21"/>
                <w:szCs w:val="21"/>
              </w:rPr>
            </w:pPr>
            <w:r w:rsidRPr="00B32924">
              <w:rPr>
                <w:rFonts w:asciiTheme="minorEastAsia" w:eastAsiaTheme="minorEastAsia" w:hAnsiTheme="minorEastAsia" w:hint="eastAsia"/>
                <w:sz w:val="21"/>
                <w:szCs w:val="21"/>
              </w:rPr>
              <w:t>DB45/T 1841-2018</w:t>
            </w:r>
          </w:p>
        </w:tc>
        <w:tc>
          <w:tcPr>
            <w:tcW w:w="992"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sz w:val="21"/>
                <w:szCs w:val="21"/>
              </w:rPr>
            </w:pPr>
            <w:r w:rsidRPr="00B32924">
              <w:rPr>
                <w:rFonts w:asciiTheme="minorEastAsia" w:eastAsiaTheme="minorEastAsia" w:hAnsiTheme="minorEastAsia" w:hint="eastAsia"/>
                <w:sz w:val="21"/>
                <w:szCs w:val="21"/>
              </w:rPr>
              <w:t>2018-10-20</w:t>
            </w:r>
          </w:p>
        </w:tc>
        <w:tc>
          <w:tcPr>
            <w:tcW w:w="1004"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sz w:val="21"/>
                <w:szCs w:val="21"/>
              </w:rPr>
            </w:pPr>
            <w:r w:rsidRPr="00B32924">
              <w:rPr>
                <w:rFonts w:asciiTheme="minorEastAsia" w:eastAsiaTheme="minorEastAsia" w:hAnsiTheme="minorEastAsia" w:hint="eastAsia"/>
                <w:sz w:val="21"/>
                <w:szCs w:val="21"/>
              </w:rPr>
              <w:t>ICS 65.020.20  B 31</w:t>
            </w:r>
          </w:p>
        </w:tc>
        <w:tc>
          <w:tcPr>
            <w:tcW w:w="1547"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sz w:val="21"/>
                <w:szCs w:val="21"/>
              </w:rPr>
            </w:pPr>
            <w:r w:rsidRPr="00B32924">
              <w:rPr>
                <w:rFonts w:asciiTheme="minorEastAsia" w:eastAsiaTheme="minorEastAsia" w:hAnsiTheme="minorEastAsia" w:hint="eastAsia"/>
                <w:sz w:val="21"/>
                <w:szCs w:val="21"/>
              </w:rPr>
              <w:t>广西壮族自治区农业科学院园艺所</w:t>
            </w:r>
          </w:p>
        </w:tc>
        <w:tc>
          <w:tcPr>
            <w:tcW w:w="1321"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sz w:val="21"/>
                <w:szCs w:val="21"/>
              </w:rPr>
            </w:pPr>
            <w:r w:rsidRPr="00B32924">
              <w:rPr>
                <w:rFonts w:asciiTheme="minorEastAsia" w:eastAsiaTheme="minorEastAsia" w:hAnsiTheme="minorEastAsia" w:hint="eastAsia"/>
                <w:sz w:val="21"/>
                <w:szCs w:val="21"/>
              </w:rPr>
              <w:t>黄其椿*、陈香玲、江东*、黄勇明、陈东奎*、白先进等</w:t>
            </w:r>
          </w:p>
        </w:tc>
        <w:tc>
          <w:tcPr>
            <w:tcW w:w="885" w:type="dxa"/>
            <w:vAlign w:val="center"/>
          </w:tcPr>
          <w:p w:rsidR="00890E22" w:rsidRPr="00B32924" w:rsidRDefault="00890E22" w:rsidP="00227EBB">
            <w:pPr>
              <w:pStyle w:val="a4"/>
              <w:spacing w:line="320" w:lineRule="atLeast"/>
              <w:ind w:firstLineChars="0" w:firstLine="0"/>
              <w:rPr>
                <w:rFonts w:asciiTheme="minorEastAsia" w:eastAsiaTheme="minorEastAsia" w:hAnsiTheme="minorEastAsia"/>
                <w:sz w:val="21"/>
                <w:szCs w:val="21"/>
              </w:rPr>
            </w:pPr>
            <w:r w:rsidRPr="00B32924">
              <w:rPr>
                <w:rFonts w:asciiTheme="minorEastAsia" w:eastAsiaTheme="minorEastAsia" w:hAnsiTheme="minorEastAsia" w:hint="eastAsia"/>
                <w:color w:val="000000" w:themeColor="text1"/>
                <w:sz w:val="21"/>
                <w:szCs w:val="21"/>
              </w:rPr>
              <w:t>有效的其他知识产权</w:t>
            </w:r>
          </w:p>
        </w:tc>
      </w:tr>
    </w:tbl>
    <w:p w:rsidR="00890E22" w:rsidRPr="00890E22" w:rsidRDefault="00890E22" w:rsidP="00890E22">
      <w:pPr>
        <w:adjustRightInd w:val="0"/>
        <w:snapToGrid w:val="0"/>
        <w:spacing w:line="560" w:lineRule="exact"/>
        <w:rPr>
          <w:rFonts w:ascii="方正仿宋_GBK" w:eastAsia="方正仿宋_GBK"/>
          <w:b/>
          <w:sz w:val="32"/>
          <w:szCs w:val="32"/>
        </w:rPr>
      </w:pPr>
      <w:r>
        <w:rPr>
          <w:rFonts w:ascii="方正仿宋_GBK" w:eastAsia="方正仿宋_GBK" w:hint="eastAsia"/>
          <w:b/>
          <w:sz w:val="32"/>
          <w:szCs w:val="32"/>
        </w:rPr>
        <w:t>5</w:t>
      </w:r>
      <w:r>
        <w:rPr>
          <w:rFonts w:ascii="方正仿宋_GBK" w:eastAsia="方正仿宋_GBK"/>
          <w:b/>
          <w:sz w:val="32"/>
          <w:szCs w:val="32"/>
        </w:rPr>
        <w:t>.</w:t>
      </w:r>
      <w:r w:rsidRPr="00890E22">
        <w:rPr>
          <w:rFonts w:ascii="方正仿宋_GBK" w:eastAsia="方正仿宋_GBK" w:hint="eastAsia"/>
          <w:b/>
          <w:sz w:val="32"/>
          <w:szCs w:val="32"/>
        </w:rPr>
        <w:t>主要完成人情况:</w:t>
      </w:r>
    </w:p>
    <w:tbl>
      <w:tblPr>
        <w:tblStyle w:val="a3"/>
        <w:tblW w:w="9605" w:type="dxa"/>
        <w:tblLayout w:type="fixed"/>
        <w:tblLook w:val="04A0" w:firstRow="1" w:lastRow="0" w:firstColumn="1" w:lastColumn="0" w:noHBand="0" w:noVBand="1"/>
      </w:tblPr>
      <w:tblGrid>
        <w:gridCol w:w="675"/>
        <w:gridCol w:w="851"/>
        <w:gridCol w:w="4394"/>
        <w:gridCol w:w="1134"/>
        <w:gridCol w:w="1134"/>
        <w:gridCol w:w="709"/>
        <w:gridCol w:w="708"/>
      </w:tblGrid>
      <w:tr w:rsidR="00890E22" w:rsidRPr="004C32D3" w:rsidTr="00227EBB">
        <w:tc>
          <w:tcPr>
            <w:tcW w:w="675" w:type="dxa"/>
            <w:vAlign w:val="center"/>
          </w:tcPr>
          <w:p w:rsidR="00890E22" w:rsidRPr="004C32D3" w:rsidRDefault="00890E22" w:rsidP="00227EBB">
            <w:pPr>
              <w:spacing w:beforeLines="50" w:before="156" w:afterLines="50" w:after="156"/>
              <w:ind w:rightChars="-3" w:right="-6"/>
              <w:jc w:val="center"/>
              <w:rPr>
                <w:rFonts w:ascii="黑体" w:eastAsia="黑体" w:hAnsi="黑体" w:cs="黑体"/>
                <w:b/>
                <w:bCs/>
                <w:szCs w:val="21"/>
              </w:rPr>
            </w:pPr>
            <w:r w:rsidRPr="004C32D3">
              <w:rPr>
                <w:rFonts w:asciiTheme="minorEastAsia" w:hAnsiTheme="minorEastAsia" w:cstheme="minorEastAsia" w:hint="eastAsia"/>
                <w:b/>
                <w:szCs w:val="21"/>
              </w:rPr>
              <w:t>排序</w:t>
            </w:r>
          </w:p>
        </w:tc>
        <w:tc>
          <w:tcPr>
            <w:tcW w:w="851" w:type="dxa"/>
            <w:vAlign w:val="center"/>
          </w:tcPr>
          <w:p w:rsidR="00890E22" w:rsidRPr="004C32D3" w:rsidRDefault="00890E22" w:rsidP="00227EBB">
            <w:pPr>
              <w:spacing w:beforeLines="50" w:before="156" w:afterLines="50" w:after="156"/>
              <w:jc w:val="center"/>
              <w:rPr>
                <w:rFonts w:asciiTheme="minorEastAsia" w:hAnsiTheme="minorEastAsia" w:cstheme="minorEastAsia"/>
                <w:b/>
                <w:szCs w:val="21"/>
              </w:rPr>
            </w:pPr>
            <w:r w:rsidRPr="004C32D3">
              <w:rPr>
                <w:rFonts w:asciiTheme="minorEastAsia" w:hAnsiTheme="minorEastAsia" w:cstheme="minorEastAsia" w:hint="eastAsia"/>
                <w:b/>
                <w:szCs w:val="21"/>
              </w:rPr>
              <w:t>姓名</w:t>
            </w:r>
          </w:p>
        </w:tc>
        <w:tc>
          <w:tcPr>
            <w:tcW w:w="4394" w:type="dxa"/>
            <w:vAlign w:val="center"/>
          </w:tcPr>
          <w:p w:rsidR="00890E22" w:rsidRPr="004C32D3" w:rsidRDefault="00890E22" w:rsidP="00227EBB">
            <w:pPr>
              <w:spacing w:beforeLines="50" w:before="156" w:afterLines="50" w:after="156"/>
              <w:jc w:val="center"/>
              <w:rPr>
                <w:rFonts w:asciiTheme="minorEastAsia" w:hAnsiTheme="minorEastAsia" w:cstheme="minorEastAsia"/>
                <w:b/>
                <w:szCs w:val="21"/>
              </w:rPr>
            </w:pPr>
            <w:r w:rsidRPr="004C32D3">
              <w:rPr>
                <w:rFonts w:asciiTheme="minorEastAsia" w:hAnsiTheme="minorEastAsia" w:cstheme="minorEastAsia" w:hint="eastAsia"/>
                <w:b/>
                <w:szCs w:val="21"/>
              </w:rPr>
              <w:t>对</w:t>
            </w:r>
            <w:r w:rsidRPr="004C32D3">
              <w:rPr>
                <w:rFonts w:asciiTheme="minorEastAsia" w:hAnsiTheme="minorEastAsia" w:cstheme="minorEastAsia"/>
                <w:b/>
                <w:szCs w:val="21"/>
              </w:rPr>
              <w:t>本项目</w:t>
            </w:r>
            <w:r w:rsidRPr="004C32D3">
              <w:rPr>
                <w:rFonts w:asciiTheme="minorEastAsia" w:hAnsiTheme="minorEastAsia" w:cstheme="minorEastAsia" w:hint="eastAsia"/>
                <w:b/>
                <w:szCs w:val="21"/>
              </w:rPr>
              <w:t>主要科技创新</w:t>
            </w:r>
            <w:r w:rsidRPr="004C32D3">
              <w:rPr>
                <w:rFonts w:asciiTheme="minorEastAsia" w:hAnsiTheme="minorEastAsia" w:cstheme="minorEastAsia"/>
                <w:b/>
                <w:szCs w:val="21"/>
              </w:rPr>
              <w:t>的</w:t>
            </w:r>
            <w:r w:rsidRPr="004C32D3">
              <w:rPr>
                <w:rFonts w:asciiTheme="minorEastAsia" w:hAnsiTheme="minorEastAsia" w:cstheme="minorEastAsia" w:hint="eastAsia"/>
                <w:b/>
                <w:szCs w:val="21"/>
              </w:rPr>
              <w:t>贡献</w:t>
            </w:r>
          </w:p>
        </w:tc>
        <w:tc>
          <w:tcPr>
            <w:tcW w:w="1134" w:type="dxa"/>
            <w:vAlign w:val="center"/>
          </w:tcPr>
          <w:p w:rsidR="00890E22" w:rsidRPr="004C32D3" w:rsidRDefault="00890E22" w:rsidP="00227EBB">
            <w:pPr>
              <w:spacing w:beforeLines="50" w:before="156" w:afterLines="50" w:after="156"/>
              <w:jc w:val="center"/>
              <w:rPr>
                <w:rFonts w:asciiTheme="minorEastAsia" w:hAnsiTheme="minorEastAsia" w:cstheme="minorEastAsia"/>
                <w:b/>
                <w:szCs w:val="21"/>
              </w:rPr>
            </w:pPr>
            <w:r w:rsidRPr="004C32D3">
              <w:rPr>
                <w:rFonts w:asciiTheme="minorEastAsia" w:hAnsiTheme="minorEastAsia" w:cstheme="minorEastAsia" w:hint="eastAsia"/>
                <w:b/>
                <w:szCs w:val="21"/>
              </w:rPr>
              <w:t>工作单位</w:t>
            </w:r>
          </w:p>
        </w:tc>
        <w:tc>
          <w:tcPr>
            <w:tcW w:w="1134" w:type="dxa"/>
            <w:vAlign w:val="center"/>
          </w:tcPr>
          <w:p w:rsidR="00890E22" w:rsidRPr="004C32D3" w:rsidRDefault="00890E22" w:rsidP="00227EBB">
            <w:pPr>
              <w:spacing w:beforeLines="50" w:before="156" w:afterLines="50" w:after="156"/>
              <w:jc w:val="center"/>
              <w:rPr>
                <w:rFonts w:asciiTheme="minorEastAsia" w:hAnsiTheme="minorEastAsia" w:cstheme="minorEastAsia"/>
                <w:b/>
                <w:szCs w:val="21"/>
              </w:rPr>
            </w:pPr>
            <w:r w:rsidRPr="004C32D3">
              <w:rPr>
                <w:rFonts w:asciiTheme="minorEastAsia" w:hAnsiTheme="minorEastAsia" w:cstheme="minorEastAsia" w:hint="eastAsia"/>
                <w:b/>
                <w:szCs w:val="21"/>
              </w:rPr>
              <w:t>完成单位</w:t>
            </w:r>
          </w:p>
        </w:tc>
        <w:tc>
          <w:tcPr>
            <w:tcW w:w="709" w:type="dxa"/>
            <w:vAlign w:val="center"/>
          </w:tcPr>
          <w:p w:rsidR="00890E22" w:rsidRPr="004C32D3" w:rsidRDefault="00890E22" w:rsidP="00227EBB">
            <w:pPr>
              <w:spacing w:beforeLines="50" w:before="156" w:afterLines="50" w:after="156"/>
              <w:jc w:val="center"/>
              <w:rPr>
                <w:rFonts w:asciiTheme="minorEastAsia" w:hAnsiTheme="minorEastAsia" w:cstheme="minorEastAsia"/>
                <w:b/>
                <w:szCs w:val="21"/>
              </w:rPr>
            </w:pPr>
            <w:r w:rsidRPr="004C32D3">
              <w:rPr>
                <w:rFonts w:asciiTheme="minorEastAsia" w:hAnsiTheme="minorEastAsia" w:cstheme="minorEastAsia" w:hint="eastAsia"/>
                <w:b/>
                <w:szCs w:val="21"/>
              </w:rPr>
              <w:t>职称</w:t>
            </w:r>
          </w:p>
        </w:tc>
        <w:tc>
          <w:tcPr>
            <w:tcW w:w="708" w:type="dxa"/>
            <w:vAlign w:val="center"/>
          </w:tcPr>
          <w:p w:rsidR="00890E22" w:rsidRPr="004C32D3" w:rsidRDefault="00890E22" w:rsidP="00227EBB">
            <w:pPr>
              <w:spacing w:beforeLines="50" w:before="156" w:afterLines="50" w:after="156"/>
              <w:jc w:val="center"/>
              <w:rPr>
                <w:rFonts w:asciiTheme="minorEastAsia" w:hAnsiTheme="minorEastAsia" w:cstheme="minorEastAsia"/>
                <w:b/>
                <w:szCs w:val="21"/>
              </w:rPr>
            </w:pPr>
            <w:r w:rsidRPr="004C32D3">
              <w:rPr>
                <w:rFonts w:asciiTheme="minorEastAsia" w:hAnsiTheme="minorEastAsia" w:cstheme="minorEastAsia" w:hint="eastAsia"/>
                <w:b/>
                <w:szCs w:val="21"/>
              </w:rPr>
              <w:t>职务</w:t>
            </w:r>
          </w:p>
        </w:tc>
      </w:tr>
      <w:tr w:rsidR="00890E22" w:rsidRPr="00B32924" w:rsidTr="00227EBB">
        <w:tc>
          <w:tcPr>
            <w:tcW w:w="675"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1</w:t>
            </w:r>
          </w:p>
        </w:tc>
        <w:tc>
          <w:tcPr>
            <w:tcW w:w="851"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熊伟</w:t>
            </w:r>
          </w:p>
        </w:tc>
        <w:tc>
          <w:tcPr>
            <w:tcW w:w="439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项目主持人和重庆市晚熟柑橘首席专家，负责项目整体方案设计，组织晚熟品种区域测试、营养失衡机制研究 和落果枯水技术攻关，在攻克落果枯水形成机制中，做出了重大技术创新，对重庆库区晚熟品种优化及适地适栽中做</w:t>
            </w:r>
            <w:r w:rsidRPr="00B32924">
              <w:rPr>
                <w:rFonts w:asciiTheme="minorEastAsia" w:hAnsiTheme="minorEastAsia" w:cstheme="minorEastAsia" w:hint="eastAsia"/>
                <w:color w:val="0D0D0D"/>
                <w:szCs w:val="21"/>
              </w:rPr>
              <w:lastRenderedPageBreak/>
              <w:t>出了突出贡献，对西南地区晚熟柑橘高效生产关键技术创新做出创造性贡献，并通过技术示范，指导培训重庆市及广西富川、鹿寨，四川泸州等市县发展晚熟柑橘。牵头的晚熟柑橘团队被重庆市委组织部授予科技创新示范团队。个人用于本项目研发时间占全年的70%，对科技创新点1、2、3作出重大贡献，旁证材料见必 备附件1、4，其他附件1-1～3，2-5～13、15、16、19、24。</w:t>
            </w:r>
          </w:p>
        </w:tc>
        <w:tc>
          <w:tcPr>
            <w:tcW w:w="113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lastRenderedPageBreak/>
              <w:t xml:space="preserve"> 重庆市农业技术推广总站</w:t>
            </w:r>
          </w:p>
        </w:tc>
        <w:tc>
          <w:tcPr>
            <w:tcW w:w="113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重庆市农业技术推广总站</w:t>
            </w:r>
          </w:p>
        </w:tc>
        <w:tc>
          <w:tcPr>
            <w:tcW w:w="709"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研究员</w:t>
            </w:r>
          </w:p>
        </w:tc>
        <w:tc>
          <w:tcPr>
            <w:tcW w:w="708"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副站长</w:t>
            </w:r>
          </w:p>
        </w:tc>
      </w:tr>
      <w:tr w:rsidR="00890E22" w:rsidRPr="00B32924" w:rsidTr="00227EBB">
        <w:tc>
          <w:tcPr>
            <w:tcW w:w="675"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lastRenderedPageBreak/>
              <w:t>2</w:t>
            </w:r>
          </w:p>
        </w:tc>
        <w:tc>
          <w:tcPr>
            <w:tcW w:w="851"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彭良志</w:t>
            </w:r>
          </w:p>
        </w:tc>
        <w:tc>
          <w:tcPr>
            <w:tcW w:w="439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项目技术负责人，研究明确柑橘年周期叶片营养水平变化规律，确立采样期、采样条件和诊断标准；研究营养失衡条件下柑橘生理、光合特征、产量质量变化和落果枯水规律；对重庆、广西、四川晚熟柑橘进行大规模叶片营养诊断，并据此研发和指导企业生产配方肥料和指导柑橘平衡施肥；研究生长调节剂、覆膜防冻、套袋防 寒条件下，越冬柑橘果实的脱落规律和防控技术。个人用于本项目研发时间占全年的70%，对科技创新点1、 2、3作出重大贡献，旁证材料见必备附件2、4，其他附件1-1～3，2-2、6，9、10、13、16、17、19、 22～24，26、27。</w:t>
            </w:r>
          </w:p>
        </w:tc>
        <w:tc>
          <w:tcPr>
            <w:tcW w:w="113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西南大学</w:t>
            </w:r>
          </w:p>
        </w:tc>
        <w:tc>
          <w:tcPr>
            <w:tcW w:w="113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西南大学</w:t>
            </w:r>
          </w:p>
        </w:tc>
        <w:tc>
          <w:tcPr>
            <w:tcW w:w="709"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研究员</w:t>
            </w:r>
          </w:p>
        </w:tc>
        <w:tc>
          <w:tcPr>
            <w:tcW w:w="708" w:type="dxa"/>
            <w:vAlign w:val="center"/>
          </w:tcPr>
          <w:p w:rsidR="00890E22" w:rsidRPr="00B32924" w:rsidRDefault="00890E22" w:rsidP="00227EBB">
            <w:pPr>
              <w:rPr>
                <w:rFonts w:asciiTheme="minorEastAsia" w:hAnsiTheme="minorEastAsia" w:cstheme="minorEastAsia"/>
                <w:color w:val="0D0D0D"/>
                <w:szCs w:val="21"/>
              </w:rPr>
            </w:pPr>
          </w:p>
        </w:tc>
      </w:tr>
      <w:tr w:rsidR="00890E22" w:rsidRPr="00B32924" w:rsidTr="00227EBB">
        <w:tc>
          <w:tcPr>
            <w:tcW w:w="675"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3</w:t>
            </w:r>
          </w:p>
        </w:tc>
        <w:tc>
          <w:tcPr>
            <w:tcW w:w="851"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陈东奎</w:t>
            </w:r>
          </w:p>
        </w:tc>
        <w:tc>
          <w:tcPr>
            <w:tcW w:w="439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主要负责沃柑、茂谷柑等晚熟柑橘品种在鉴定评价，及相关优质、高效生产技术的研究和应用，培训果农 3000人次以上，为沃柑等欧美系杂柑在广西中南部和长江上游低海拔河谷区大规模应用做出重大贡献，对广西晚熟柑橘产业的健康、快速发展做出了积极贡献。共获授权国家专利8项，参与制定2项沃柑广西标准，主编专著《广西沃柑生产技术与经营》，发表论文3篇。个人用于本项目研发时间占全年的70%，对科技创新点1、2、3作出重大贡献，旁证材料见必备附件5，其他附件2-1、5、9、18、19。</w:t>
            </w:r>
          </w:p>
        </w:tc>
        <w:tc>
          <w:tcPr>
            <w:tcW w:w="113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广西壮族自治区农业科学院园艺研究所</w:t>
            </w:r>
          </w:p>
        </w:tc>
        <w:tc>
          <w:tcPr>
            <w:tcW w:w="113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广西壮族自治区农业科学院园艺研究所</w:t>
            </w:r>
          </w:p>
        </w:tc>
        <w:tc>
          <w:tcPr>
            <w:tcW w:w="709"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研究员</w:t>
            </w:r>
          </w:p>
        </w:tc>
        <w:tc>
          <w:tcPr>
            <w:tcW w:w="708"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所长</w:t>
            </w:r>
          </w:p>
        </w:tc>
      </w:tr>
      <w:tr w:rsidR="00890E22" w:rsidRPr="00B32924" w:rsidTr="00227EBB">
        <w:tc>
          <w:tcPr>
            <w:tcW w:w="675"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4</w:t>
            </w:r>
          </w:p>
        </w:tc>
        <w:tc>
          <w:tcPr>
            <w:tcW w:w="851"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江东</w:t>
            </w:r>
          </w:p>
        </w:tc>
        <w:tc>
          <w:tcPr>
            <w:tcW w:w="439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长期开展柑橘种质资源的收集、保存、鉴定、评价和基因挖掘工作，建立了我国柑橘品种资源测试、鉴定评价 技术规程，以及与国际（UPOV）标准接轨的国家柑橘品种DUS测试标准。利用这些标准体系并结合柑橘优异基因资源的挖掘，筛选出系列适合我国柑橘生产的早中晚熟柑橘品种，支撑我国柑橘熟期结构优化。引进、培育、筛选和推广柑橘优新品种30多份，其中塔罗科血橙新系、沃柑、大雅柑、不知火等在重庆、四川、广西、云南等地推广，</w:t>
            </w:r>
            <w:r w:rsidRPr="00B32924">
              <w:rPr>
                <w:rFonts w:asciiTheme="minorEastAsia" w:hAnsiTheme="minorEastAsia" w:cstheme="minorEastAsia" w:hint="eastAsia"/>
                <w:color w:val="0D0D0D"/>
                <w:szCs w:val="21"/>
              </w:rPr>
              <w:lastRenderedPageBreak/>
              <w:t>产生显著社会经济效益。个人用于本项目研发时间占全年的70%，对科技创新点1、3作出重大贡献，旁证材料见必备附件3、5，其他附件1-4，2-3、4、9、16、19～22、25。</w:t>
            </w:r>
          </w:p>
        </w:tc>
        <w:tc>
          <w:tcPr>
            <w:tcW w:w="113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lastRenderedPageBreak/>
              <w:t>西南大学</w:t>
            </w:r>
          </w:p>
        </w:tc>
        <w:tc>
          <w:tcPr>
            <w:tcW w:w="113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西南大学</w:t>
            </w:r>
          </w:p>
        </w:tc>
        <w:tc>
          <w:tcPr>
            <w:tcW w:w="709"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副研究员</w:t>
            </w:r>
          </w:p>
        </w:tc>
        <w:tc>
          <w:tcPr>
            <w:tcW w:w="708" w:type="dxa"/>
            <w:vAlign w:val="center"/>
          </w:tcPr>
          <w:p w:rsidR="00890E22" w:rsidRPr="00B32924" w:rsidRDefault="00890E22" w:rsidP="00227EBB">
            <w:pPr>
              <w:rPr>
                <w:rFonts w:asciiTheme="minorEastAsia" w:hAnsiTheme="minorEastAsia" w:cstheme="minorEastAsia"/>
                <w:color w:val="0D0D0D"/>
                <w:szCs w:val="21"/>
              </w:rPr>
            </w:pPr>
          </w:p>
        </w:tc>
      </w:tr>
      <w:tr w:rsidR="00890E22" w:rsidRPr="00B32924" w:rsidTr="00227EBB">
        <w:tc>
          <w:tcPr>
            <w:tcW w:w="675"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5</w:t>
            </w:r>
          </w:p>
        </w:tc>
        <w:tc>
          <w:tcPr>
            <w:tcW w:w="851"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夏仁斌</w:t>
            </w:r>
          </w:p>
        </w:tc>
        <w:tc>
          <w:tcPr>
            <w:tcW w:w="439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参与重庆市柑橘重点区域发展规划、重庆晚熟柑橘发展及老果园改造规划编写，晚熟柑橘新品种试验示范及推广应用；参与重庆市柑橘营养诊断高效施肥技术的研究集成，参与重庆市晚熟柑橘冬季保果防落防枯水技术的研究集成；从2006年开始连续13年承担《重庆市柑橘营养诊断与高效施肥技术应用推广》项目具体实施，为探明重庆晚熟柑橘营养失衡规律及开展矫治示范等提供海量数据支撑。个人用于本项目研发时间占全年的 70%，对科技创新点1、2、3作出重大贡献，旁证材料见必备附件1、4，其他附件1～3、6～14、16、24。</w:t>
            </w:r>
          </w:p>
        </w:tc>
        <w:tc>
          <w:tcPr>
            <w:tcW w:w="113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 xml:space="preserve"> 重庆市农业技术推广总站</w:t>
            </w:r>
          </w:p>
        </w:tc>
        <w:tc>
          <w:tcPr>
            <w:tcW w:w="113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重庆市农业技术推广总站</w:t>
            </w:r>
          </w:p>
        </w:tc>
        <w:tc>
          <w:tcPr>
            <w:tcW w:w="709"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研究员</w:t>
            </w:r>
          </w:p>
        </w:tc>
        <w:tc>
          <w:tcPr>
            <w:tcW w:w="708" w:type="dxa"/>
            <w:vAlign w:val="center"/>
          </w:tcPr>
          <w:p w:rsidR="00890E22" w:rsidRPr="00B32924" w:rsidRDefault="00890E22" w:rsidP="00227EBB">
            <w:pPr>
              <w:rPr>
                <w:rFonts w:asciiTheme="minorEastAsia" w:hAnsiTheme="minorEastAsia" w:cstheme="minorEastAsia"/>
                <w:color w:val="0D0D0D"/>
                <w:szCs w:val="21"/>
              </w:rPr>
            </w:pPr>
          </w:p>
        </w:tc>
      </w:tr>
      <w:tr w:rsidR="00890E22" w:rsidRPr="00B32924" w:rsidTr="00227EBB">
        <w:tc>
          <w:tcPr>
            <w:tcW w:w="675"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6</w:t>
            </w:r>
          </w:p>
        </w:tc>
        <w:tc>
          <w:tcPr>
            <w:tcW w:w="851"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邓崇岭</w:t>
            </w:r>
          </w:p>
        </w:tc>
        <w:tc>
          <w:tcPr>
            <w:tcW w:w="439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1.在广西首次引进、收集和测试茂谷柑、W.默科特、沃柑、夏橙等晚熟柑橘品种22个，并进行植物学特性、物 候期等特性鉴定评价，为晚熟柑橘新品种在广西推广应用提供技术支撑。2.筛选出茂谷柑、沃柑、W.默科特、 佛罗斯特夏橙等综合性状优良的新品种，沃柑、茂谷柑等晚熟柑橘新品种在广西得到大面积推广种植，种植面积达160万亩，取得显著的经济效益。3.发表论文10篇，出版著作5部，制定广西地方标准4项。个人用于本项目 研发时间占全年的70%，对科技创新点1、2、3作出重大贡献，旁证材料见必备附件4，其他附件9、18、</w:t>
            </w:r>
            <w:r w:rsidRPr="00B32924">
              <w:rPr>
                <w:rFonts w:asciiTheme="minorEastAsia" w:hAnsiTheme="minorEastAsia" w:cstheme="minorEastAsia"/>
                <w:color w:val="0D0D0D"/>
                <w:szCs w:val="21"/>
              </w:rPr>
              <w:t>19</w:t>
            </w:r>
            <w:r w:rsidRPr="00B32924">
              <w:rPr>
                <w:rFonts w:asciiTheme="minorEastAsia" w:hAnsiTheme="minorEastAsia" w:cstheme="minorEastAsia" w:hint="eastAsia"/>
                <w:color w:val="0D0D0D"/>
                <w:szCs w:val="21"/>
              </w:rPr>
              <w:t>。</w:t>
            </w:r>
          </w:p>
        </w:tc>
        <w:tc>
          <w:tcPr>
            <w:tcW w:w="113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广西特色作物研究院</w:t>
            </w:r>
          </w:p>
        </w:tc>
        <w:tc>
          <w:tcPr>
            <w:tcW w:w="113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广西特色作物研究院</w:t>
            </w:r>
          </w:p>
        </w:tc>
        <w:tc>
          <w:tcPr>
            <w:tcW w:w="709"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研究员</w:t>
            </w:r>
          </w:p>
        </w:tc>
        <w:tc>
          <w:tcPr>
            <w:tcW w:w="708"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院长</w:t>
            </w:r>
          </w:p>
        </w:tc>
      </w:tr>
      <w:tr w:rsidR="00890E22" w:rsidRPr="00B32924" w:rsidTr="00227EBB">
        <w:tc>
          <w:tcPr>
            <w:tcW w:w="675"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7</w:t>
            </w:r>
          </w:p>
        </w:tc>
        <w:tc>
          <w:tcPr>
            <w:tcW w:w="851"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余东</w:t>
            </w:r>
          </w:p>
        </w:tc>
        <w:tc>
          <w:tcPr>
            <w:tcW w:w="439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负责四川省内晚熟柑橘产区晚熟柑橘的推广应用，越冬果实保果防落防枯水综合技术培训及普及推广工作。在 攻克形成机制中，做出了重大技术创新，对四川晚熟柑橘品种优化、适地适栽和落果枯水防控技术集成中做出 了突出贡献，并通过指导示范园建设，现场培训，促进技术落地。个人用于本项目研发时间占全年的60%，对 科技创新点1、2、3作出重大贡献，旁证材料见其他附件9、19。</w:t>
            </w:r>
          </w:p>
        </w:tc>
        <w:tc>
          <w:tcPr>
            <w:tcW w:w="113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四川省园艺作物技术推广总站（四川省优质农产品中心）</w:t>
            </w:r>
          </w:p>
        </w:tc>
        <w:tc>
          <w:tcPr>
            <w:tcW w:w="113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四川省园艺作物技术推广总站（四川省优质农产品中心）</w:t>
            </w:r>
          </w:p>
        </w:tc>
        <w:tc>
          <w:tcPr>
            <w:tcW w:w="709"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高级农艺师</w:t>
            </w:r>
          </w:p>
        </w:tc>
        <w:tc>
          <w:tcPr>
            <w:tcW w:w="708" w:type="dxa"/>
            <w:vAlign w:val="center"/>
          </w:tcPr>
          <w:p w:rsidR="00890E22" w:rsidRPr="00B32924" w:rsidRDefault="00890E22" w:rsidP="00227EBB">
            <w:pPr>
              <w:rPr>
                <w:rFonts w:asciiTheme="minorEastAsia" w:hAnsiTheme="minorEastAsia" w:cstheme="minorEastAsia"/>
                <w:color w:val="0D0D0D"/>
                <w:szCs w:val="21"/>
              </w:rPr>
            </w:pPr>
          </w:p>
        </w:tc>
      </w:tr>
      <w:tr w:rsidR="00890E22" w:rsidRPr="00B32924" w:rsidTr="00227EBB">
        <w:tc>
          <w:tcPr>
            <w:tcW w:w="675"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8</w:t>
            </w:r>
          </w:p>
        </w:tc>
        <w:tc>
          <w:tcPr>
            <w:tcW w:w="851"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淳长品</w:t>
            </w:r>
          </w:p>
        </w:tc>
        <w:tc>
          <w:tcPr>
            <w:tcW w:w="439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主要参与营养诊断配方施肥技术体系建立、越冬落果研究以及集成优质高产综合技术和推广应用。用于本项目 研发时间占全年的60%，对科技创新点1、2、3作出重大贡献，旁证材料见必备附件2、4，其他附件1-2、3，22、6、8、9、13、16、19、22～24、26、27。</w:t>
            </w:r>
          </w:p>
        </w:tc>
        <w:tc>
          <w:tcPr>
            <w:tcW w:w="113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西南大学</w:t>
            </w:r>
          </w:p>
        </w:tc>
        <w:tc>
          <w:tcPr>
            <w:tcW w:w="113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西南大学</w:t>
            </w:r>
          </w:p>
        </w:tc>
        <w:tc>
          <w:tcPr>
            <w:tcW w:w="709"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副研究员</w:t>
            </w:r>
          </w:p>
        </w:tc>
        <w:tc>
          <w:tcPr>
            <w:tcW w:w="708" w:type="dxa"/>
            <w:vAlign w:val="center"/>
          </w:tcPr>
          <w:p w:rsidR="00890E22" w:rsidRPr="00B32924" w:rsidRDefault="00890E22" w:rsidP="00227EBB">
            <w:pPr>
              <w:rPr>
                <w:rFonts w:asciiTheme="minorEastAsia" w:hAnsiTheme="minorEastAsia" w:cstheme="minorEastAsia"/>
                <w:color w:val="0D0D0D"/>
                <w:szCs w:val="21"/>
              </w:rPr>
            </w:pPr>
          </w:p>
        </w:tc>
      </w:tr>
      <w:tr w:rsidR="00890E22" w:rsidRPr="00B32924" w:rsidTr="00227EBB">
        <w:tc>
          <w:tcPr>
            <w:tcW w:w="675"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lastRenderedPageBreak/>
              <w:t>9</w:t>
            </w:r>
          </w:p>
        </w:tc>
        <w:tc>
          <w:tcPr>
            <w:tcW w:w="851"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黄其椿</w:t>
            </w:r>
          </w:p>
        </w:tc>
        <w:tc>
          <w:tcPr>
            <w:tcW w:w="439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主要负责沃柑、茂谷柑等晚熟柑橘品种及相关优质、高产技术在广西的研究和推广应用工作，培训果农3000人次以上，在广西最早引进沃柑并试种成功，为广西晚熟柑橘产业的健康、快速发展做出了积极贡献。 主持沃柑在广西的品种审定，共获授权国家专利8项，其中发明专利《一种沃柑的栽培方法》排第一,实用新型专利排第一，主持制定2项沃柑广西标准，主编专著《广西沃柑生产技术与经营》，发表论文4篇。参与完成了 项目的三个主要创新点。用于本项目研发时间占全年的70%，对科技创新点1、2、3作出重大贡献，旁证材料 见必备附件5，其他附件2-1、5、9、18、19。</w:t>
            </w:r>
          </w:p>
        </w:tc>
        <w:tc>
          <w:tcPr>
            <w:tcW w:w="113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广西壮族自治区农业科学院园艺研究所</w:t>
            </w:r>
          </w:p>
        </w:tc>
        <w:tc>
          <w:tcPr>
            <w:tcW w:w="113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广西壮族自治区农业科学院园艺研究所</w:t>
            </w:r>
          </w:p>
        </w:tc>
        <w:tc>
          <w:tcPr>
            <w:tcW w:w="709"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助理研究员</w:t>
            </w:r>
          </w:p>
        </w:tc>
        <w:tc>
          <w:tcPr>
            <w:tcW w:w="708" w:type="dxa"/>
            <w:vAlign w:val="center"/>
          </w:tcPr>
          <w:p w:rsidR="00890E22" w:rsidRPr="00B32924" w:rsidRDefault="00890E22" w:rsidP="00227EBB">
            <w:pPr>
              <w:rPr>
                <w:rFonts w:asciiTheme="minorEastAsia" w:hAnsiTheme="minorEastAsia" w:cstheme="minorEastAsia"/>
                <w:color w:val="0D0D0D"/>
                <w:szCs w:val="21"/>
              </w:rPr>
            </w:pPr>
          </w:p>
        </w:tc>
      </w:tr>
      <w:tr w:rsidR="00890E22" w:rsidRPr="00B32924" w:rsidTr="00227EBB">
        <w:tc>
          <w:tcPr>
            <w:tcW w:w="675"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10</w:t>
            </w:r>
          </w:p>
        </w:tc>
        <w:tc>
          <w:tcPr>
            <w:tcW w:w="851"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李永安</w:t>
            </w:r>
          </w:p>
        </w:tc>
        <w:tc>
          <w:tcPr>
            <w:tcW w:w="439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主持中国农科院柑橘研究所眉山柑橘技术咨询服务站工作，眉山市优质水果良繁园、眉山市东坡区柑橘母本园 工作，负责清见、春见、不知火等日系杂柑，伏令夏橙等晚熟柑橘的区域测试，参与探明晚熟柑橘适宜区域，支撑适地适栽，运用晚熟柑橘落果和枯水形成机制，因地制宜研究高效生产新技术，并开展品种实验示范、新品种推广、技术培训，晚熟柑橘评选。编制晚熟柑橘眉山市技术规程，支撑发展。用于本项目研发时间占全年的70%，对科技创新点1、2、3作出重大贡献，旁证材料见其他附件9、19、22。</w:t>
            </w:r>
          </w:p>
        </w:tc>
        <w:tc>
          <w:tcPr>
            <w:tcW w:w="113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四川省眉山市东坡区经济作物站</w:t>
            </w:r>
          </w:p>
        </w:tc>
        <w:tc>
          <w:tcPr>
            <w:tcW w:w="1134"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四川省眉山市东坡区经济作物站</w:t>
            </w:r>
          </w:p>
        </w:tc>
        <w:tc>
          <w:tcPr>
            <w:tcW w:w="709"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高级农艺师</w:t>
            </w:r>
          </w:p>
        </w:tc>
        <w:tc>
          <w:tcPr>
            <w:tcW w:w="708"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副站长</w:t>
            </w:r>
          </w:p>
        </w:tc>
      </w:tr>
    </w:tbl>
    <w:p w:rsidR="00890E22" w:rsidRPr="00890E22" w:rsidRDefault="00890E22" w:rsidP="00890E22">
      <w:pPr>
        <w:spacing w:line="360" w:lineRule="auto"/>
        <w:rPr>
          <w:rFonts w:ascii="方正仿宋_GBK" w:eastAsia="方正仿宋_GBK"/>
          <w:b/>
          <w:sz w:val="32"/>
          <w:szCs w:val="32"/>
        </w:rPr>
      </w:pPr>
      <w:r>
        <w:rPr>
          <w:rFonts w:ascii="方正仿宋_GBK" w:eastAsia="方正仿宋_GBK" w:hint="eastAsia"/>
          <w:b/>
          <w:sz w:val="32"/>
          <w:szCs w:val="32"/>
        </w:rPr>
        <w:t>6.</w:t>
      </w:r>
      <w:r w:rsidRPr="00890E22">
        <w:rPr>
          <w:rFonts w:ascii="方正仿宋_GBK" w:eastAsia="方正仿宋_GBK" w:hint="eastAsia"/>
          <w:b/>
          <w:sz w:val="32"/>
          <w:szCs w:val="32"/>
        </w:rPr>
        <w:t>主要完成单位情况：</w:t>
      </w:r>
    </w:p>
    <w:tbl>
      <w:tblPr>
        <w:tblStyle w:val="a3"/>
        <w:tblW w:w="9747" w:type="dxa"/>
        <w:tblLayout w:type="fixed"/>
        <w:tblLook w:val="04A0" w:firstRow="1" w:lastRow="0" w:firstColumn="1" w:lastColumn="0" w:noHBand="0" w:noVBand="1"/>
      </w:tblPr>
      <w:tblGrid>
        <w:gridCol w:w="675"/>
        <w:gridCol w:w="1276"/>
        <w:gridCol w:w="7796"/>
      </w:tblGrid>
      <w:tr w:rsidR="00890E22" w:rsidRPr="004C32D3" w:rsidTr="00227EBB">
        <w:tc>
          <w:tcPr>
            <w:tcW w:w="675" w:type="dxa"/>
          </w:tcPr>
          <w:p w:rsidR="00890E22" w:rsidRPr="004C32D3" w:rsidRDefault="00890E22" w:rsidP="00227EBB">
            <w:pPr>
              <w:spacing w:line="360" w:lineRule="auto"/>
              <w:rPr>
                <w:rFonts w:asciiTheme="minorEastAsia" w:hAnsiTheme="minorEastAsia" w:cstheme="minorEastAsia"/>
                <w:b/>
                <w:szCs w:val="21"/>
              </w:rPr>
            </w:pPr>
            <w:r w:rsidRPr="004C32D3">
              <w:rPr>
                <w:rFonts w:asciiTheme="minorEastAsia" w:hAnsiTheme="minorEastAsia" w:cstheme="minorEastAsia" w:hint="eastAsia"/>
                <w:b/>
                <w:szCs w:val="21"/>
              </w:rPr>
              <w:t>排序</w:t>
            </w:r>
          </w:p>
        </w:tc>
        <w:tc>
          <w:tcPr>
            <w:tcW w:w="1276" w:type="dxa"/>
          </w:tcPr>
          <w:p w:rsidR="00890E22" w:rsidRPr="004C32D3" w:rsidRDefault="00890E22" w:rsidP="00227EBB">
            <w:pPr>
              <w:spacing w:line="360" w:lineRule="auto"/>
              <w:jc w:val="center"/>
              <w:rPr>
                <w:rFonts w:asciiTheme="minorEastAsia" w:hAnsiTheme="minorEastAsia" w:cstheme="minorEastAsia"/>
                <w:b/>
                <w:szCs w:val="21"/>
              </w:rPr>
            </w:pPr>
            <w:r w:rsidRPr="004C32D3">
              <w:rPr>
                <w:rFonts w:asciiTheme="minorEastAsia" w:hAnsiTheme="minorEastAsia" w:cstheme="minorEastAsia" w:hint="eastAsia"/>
                <w:b/>
                <w:szCs w:val="21"/>
              </w:rPr>
              <w:t>完成单位</w:t>
            </w:r>
          </w:p>
        </w:tc>
        <w:tc>
          <w:tcPr>
            <w:tcW w:w="7796" w:type="dxa"/>
          </w:tcPr>
          <w:p w:rsidR="00890E22" w:rsidRPr="004C32D3" w:rsidRDefault="00890E22" w:rsidP="00227EBB">
            <w:pPr>
              <w:spacing w:line="360" w:lineRule="auto"/>
              <w:jc w:val="center"/>
              <w:rPr>
                <w:rFonts w:asciiTheme="minorEastAsia" w:hAnsiTheme="minorEastAsia" w:cstheme="minorEastAsia"/>
                <w:b/>
                <w:szCs w:val="21"/>
              </w:rPr>
            </w:pPr>
            <w:r w:rsidRPr="004C32D3">
              <w:rPr>
                <w:rFonts w:asciiTheme="minorEastAsia" w:hAnsiTheme="minorEastAsia" w:cstheme="minorEastAsia" w:hint="eastAsia"/>
                <w:b/>
                <w:szCs w:val="21"/>
              </w:rPr>
              <w:t>对</w:t>
            </w:r>
            <w:r w:rsidRPr="004C32D3">
              <w:rPr>
                <w:rFonts w:asciiTheme="minorEastAsia" w:hAnsiTheme="minorEastAsia" w:cstheme="minorEastAsia"/>
                <w:b/>
                <w:szCs w:val="21"/>
              </w:rPr>
              <w:t>本项目科技</w:t>
            </w:r>
            <w:r w:rsidRPr="004C32D3">
              <w:rPr>
                <w:rFonts w:asciiTheme="minorEastAsia" w:hAnsiTheme="minorEastAsia" w:cstheme="minorEastAsia" w:hint="eastAsia"/>
                <w:b/>
                <w:szCs w:val="21"/>
              </w:rPr>
              <w:t>创新和</w:t>
            </w:r>
            <w:r w:rsidRPr="004C32D3">
              <w:rPr>
                <w:rFonts w:asciiTheme="minorEastAsia" w:hAnsiTheme="minorEastAsia" w:cstheme="minorEastAsia"/>
                <w:b/>
                <w:szCs w:val="21"/>
              </w:rPr>
              <w:t>应用</w:t>
            </w:r>
            <w:r w:rsidRPr="004C32D3">
              <w:rPr>
                <w:rFonts w:asciiTheme="minorEastAsia" w:hAnsiTheme="minorEastAsia" w:cstheme="minorEastAsia" w:hint="eastAsia"/>
                <w:b/>
                <w:szCs w:val="21"/>
              </w:rPr>
              <w:t>推广情况</w:t>
            </w:r>
            <w:r w:rsidRPr="004C32D3">
              <w:rPr>
                <w:rFonts w:asciiTheme="minorEastAsia" w:hAnsiTheme="minorEastAsia" w:cstheme="minorEastAsia"/>
                <w:b/>
                <w:szCs w:val="21"/>
              </w:rPr>
              <w:t>的</w:t>
            </w:r>
            <w:r w:rsidRPr="004C32D3">
              <w:rPr>
                <w:rFonts w:asciiTheme="minorEastAsia" w:hAnsiTheme="minorEastAsia" w:cstheme="minorEastAsia" w:hint="eastAsia"/>
                <w:b/>
                <w:szCs w:val="21"/>
              </w:rPr>
              <w:t>贡献</w:t>
            </w:r>
          </w:p>
        </w:tc>
      </w:tr>
      <w:tr w:rsidR="00890E22" w:rsidTr="00227EBB">
        <w:trPr>
          <w:trHeight w:val="1088"/>
        </w:trPr>
        <w:tc>
          <w:tcPr>
            <w:tcW w:w="675" w:type="dxa"/>
            <w:vAlign w:val="center"/>
          </w:tcPr>
          <w:p w:rsidR="00890E22" w:rsidRPr="00B32924" w:rsidRDefault="00890E22" w:rsidP="00227EBB">
            <w:pPr>
              <w:rPr>
                <w:rFonts w:asciiTheme="minorEastAsia" w:hAnsiTheme="minorEastAsia" w:cstheme="minorEastAsia"/>
                <w:b/>
                <w:szCs w:val="21"/>
              </w:rPr>
            </w:pPr>
            <w:r w:rsidRPr="00B32924">
              <w:rPr>
                <w:rFonts w:asciiTheme="minorEastAsia" w:hAnsiTheme="minorEastAsia" w:cstheme="minorEastAsia" w:hint="eastAsia"/>
                <w:b/>
                <w:szCs w:val="21"/>
              </w:rPr>
              <w:t>1</w:t>
            </w:r>
          </w:p>
        </w:tc>
        <w:tc>
          <w:tcPr>
            <w:tcW w:w="1276" w:type="dxa"/>
            <w:vAlign w:val="center"/>
          </w:tcPr>
          <w:p w:rsidR="00890E22" w:rsidRPr="00B32924" w:rsidRDefault="00890E22" w:rsidP="00227EBB">
            <w:pPr>
              <w:rPr>
                <w:rFonts w:asciiTheme="minorEastAsia" w:hAnsiTheme="minorEastAsia" w:cstheme="minorEastAsia"/>
                <w:szCs w:val="21"/>
              </w:rPr>
            </w:pPr>
            <w:r w:rsidRPr="00B32924">
              <w:rPr>
                <w:rFonts w:asciiTheme="minorEastAsia" w:hAnsiTheme="minorEastAsia" w:cstheme="minorEastAsia"/>
                <w:szCs w:val="21"/>
              </w:rPr>
              <w:t>西南大学</w:t>
            </w:r>
          </w:p>
        </w:tc>
        <w:tc>
          <w:tcPr>
            <w:tcW w:w="7796" w:type="dxa"/>
            <w:vAlign w:val="center"/>
          </w:tcPr>
          <w:p w:rsidR="00890E22" w:rsidRPr="00B32924" w:rsidRDefault="00890E22" w:rsidP="00227EBB">
            <w:pPr>
              <w:rPr>
                <w:rFonts w:asciiTheme="minorEastAsia" w:hAnsiTheme="minorEastAsia" w:cstheme="minorEastAsia"/>
                <w:szCs w:val="21"/>
              </w:rPr>
            </w:pPr>
            <w:r w:rsidRPr="00B32924">
              <w:rPr>
                <w:rFonts w:asciiTheme="minorEastAsia" w:hAnsiTheme="minorEastAsia" w:cstheme="minorEastAsia" w:hint="eastAsia"/>
                <w:szCs w:val="21"/>
              </w:rPr>
              <w:t xml:space="preserve">  1960年中国农科院柑橘所（现属西南大学）建所以来，长期从事柑橘种质资源收集、品种培育和栽培技术研究。建立了晚熟柑橘性状表型评价和分子鉴定相结合的综合评价体系，从1650份柑橘种质资源中挖掘出优质、高产、晚熟等资源（品种），筛选出适合四川盆地、长江上游、桂中南等晚熟柑橘主要产区的适栽品种。应用无病容器苗和高接换种技术，在桂中南积温较高地区发展欧美系杂柑，在四川盆地近零度无严重冬害区发展 塔罗科血橙和日系杂柑，以及长江上游地区的栽培。建立了以叶片分析为主的柑橘营养精准矫正体系，研发了柑橘专用有机无机配方肥等系列相关新技术、新产品，有效地破解了制约晚熟柑橘产业发展的关键技术瓶颈。主持和参与制定从品种鉴定评价、标准化育苗、高接换种、配方施肥等系列优质高产栽培技术及规程，创新的晚熟柑橘保果防枯水综合技术成为农业农村部主推技术，支撑了长江上游晚熟柑橘老产区优质高产和四川盆地 、桂中南等新发展区域的高效生产。</w:t>
            </w:r>
          </w:p>
        </w:tc>
      </w:tr>
      <w:tr w:rsidR="00890E22" w:rsidTr="00227EBB">
        <w:trPr>
          <w:trHeight w:val="1088"/>
        </w:trPr>
        <w:tc>
          <w:tcPr>
            <w:tcW w:w="675" w:type="dxa"/>
            <w:vAlign w:val="center"/>
          </w:tcPr>
          <w:p w:rsidR="00890E22" w:rsidRPr="00B32924" w:rsidRDefault="00890E22" w:rsidP="00227EBB">
            <w:pPr>
              <w:rPr>
                <w:rFonts w:asciiTheme="minorEastAsia" w:hAnsiTheme="minorEastAsia" w:cstheme="minorEastAsia"/>
                <w:b/>
                <w:szCs w:val="21"/>
              </w:rPr>
            </w:pPr>
            <w:r w:rsidRPr="00B32924">
              <w:rPr>
                <w:rFonts w:asciiTheme="minorEastAsia" w:hAnsiTheme="minorEastAsia" w:cstheme="minorEastAsia" w:hint="eastAsia"/>
                <w:b/>
                <w:szCs w:val="21"/>
              </w:rPr>
              <w:t>2</w:t>
            </w:r>
          </w:p>
        </w:tc>
        <w:tc>
          <w:tcPr>
            <w:tcW w:w="1276" w:type="dxa"/>
            <w:vAlign w:val="center"/>
          </w:tcPr>
          <w:p w:rsidR="00890E22" w:rsidRPr="00B32924" w:rsidRDefault="00890E22" w:rsidP="00227EBB">
            <w:pPr>
              <w:rPr>
                <w:rFonts w:asciiTheme="minorEastAsia" w:hAnsiTheme="minorEastAsia" w:cstheme="minorEastAsia"/>
                <w:szCs w:val="21"/>
              </w:rPr>
            </w:pPr>
            <w:r w:rsidRPr="00B32924">
              <w:rPr>
                <w:rFonts w:asciiTheme="minorEastAsia" w:hAnsiTheme="minorEastAsia" w:cstheme="minorEastAsia"/>
                <w:szCs w:val="21"/>
              </w:rPr>
              <w:t>重庆市农业技术推广总站</w:t>
            </w:r>
          </w:p>
        </w:tc>
        <w:tc>
          <w:tcPr>
            <w:tcW w:w="7796" w:type="dxa"/>
            <w:vAlign w:val="center"/>
          </w:tcPr>
          <w:p w:rsidR="00890E22" w:rsidRPr="00B32924" w:rsidRDefault="00890E22" w:rsidP="00227EBB">
            <w:pPr>
              <w:ind w:firstLineChars="100" w:firstLine="210"/>
              <w:rPr>
                <w:rFonts w:asciiTheme="minorEastAsia" w:hAnsiTheme="minorEastAsia" w:cstheme="minorEastAsia"/>
                <w:szCs w:val="21"/>
              </w:rPr>
            </w:pPr>
            <w:r w:rsidRPr="00B32924">
              <w:rPr>
                <w:rFonts w:asciiTheme="minorEastAsia" w:hAnsiTheme="minorEastAsia" w:cstheme="minorEastAsia" w:hint="eastAsia"/>
                <w:szCs w:val="21"/>
              </w:rPr>
              <w:t>本单位系原重庆市经作站（长江柑橘带项目办公室）2011年整体并入，成立的新重庆市农业技术推广总站。长期针对我国9-12月成熟的早中熟品种超过95%，熟期结构失调，季节性卖难时有发生问题，围绕晚熟柑橘品种区域优化，冬季落果、枯水、霜冻瓶颈问题，牵头组建重庆柑橘创新团队，主持和参与筛选适合长江上游地</w:t>
            </w:r>
            <w:r w:rsidRPr="00B32924">
              <w:rPr>
                <w:rFonts w:asciiTheme="minorEastAsia" w:hAnsiTheme="minorEastAsia" w:cstheme="minorEastAsia" w:hint="eastAsia"/>
                <w:szCs w:val="21"/>
              </w:rPr>
              <w:lastRenderedPageBreak/>
              <w:t>区 适栽晚熟品种，建立柑橘无毒容器育苗技术体系和柑橘营养诊断技术体系，运用营养生理学理论及检测技术 ，探索冬季落果枯水的形成机制，攻关三峡库区典型脆弱生态区晚熟柑橘优质高产瓶颈，研发越冬柑橘防落果 防枯水防霜冻新方法，系统集成晚熟柑橘优质高产综合技术，攻克困扰我国70余年的晚熟柑橘冬季落果和果实枯水难题，种出重庆最大“摇钱树”，支撑产业13年增。同时，根据落果枯水形成机制，研发保果防落防枯水 新技术；配套生长调节剂保果、排涝防落、覆膜防冻和防日灼等措施，系统集成和推广晚熟柑橘优质高产综合 技术，支撑重庆库区落果率由30%-90%降为5%，枯水率降为0-5%，单产、优果率显著提升。各地因地制宜研 究凝练“良种+良地+良法”、“防落+防枯+防冻”等技术推进模式，实现了适地适种和良种良法配套，总体技术3次被农业部定为农业主推技术，在全国推广应用。</w:t>
            </w:r>
          </w:p>
        </w:tc>
      </w:tr>
      <w:tr w:rsidR="00890E22" w:rsidTr="00227EBB">
        <w:trPr>
          <w:trHeight w:val="1092"/>
        </w:trPr>
        <w:tc>
          <w:tcPr>
            <w:tcW w:w="675"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lastRenderedPageBreak/>
              <w:t>3</w:t>
            </w:r>
          </w:p>
        </w:tc>
        <w:tc>
          <w:tcPr>
            <w:tcW w:w="1276"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color w:val="0D0D0D"/>
                <w:szCs w:val="21"/>
              </w:rPr>
              <w:t>广西壮族自治区农业科学院园艺研究所</w:t>
            </w:r>
          </w:p>
        </w:tc>
        <w:tc>
          <w:tcPr>
            <w:tcW w:w="7796" w:type="dxa"/>
            <w:vAlign w:val="center"/>
          </w:tcPr>
          <w:p w:rsidR="00890E22" w:rsidRPr="00B32924" w:rsidRDefault="00890E22" w:rsidP="00227EBB">
            <w:pPr>
              <w:ind w:firstLineChars="200" w:firstLine="420"/>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自2010年1月参加“晚熟柑橘高效生产关键技术创新与应用”项目，主要负责沃柑、茂谷柑等晚熟柑橘品种及相关优质、高产技术在广西的研究和推广应用工作，累计培训果农6000人次以上，为广西晚熟柑橘产业的健康 、快速发展做出了积极贡献。 对完成2017～2019年广西晚熟柑橘累计面积464.41万亩，产量587.45万吨，其中2017年面积120.63万亩、产量 147.17万吨，2018年157.12万亩、197.97万吨，2019年253.49 万亩，产量242.31万吨，新增销售额分别为 812370.67万元、922545.79万元、964381.86万元，累计新增销售总额2699298.32万元做出了重要贡献。在广西最早引进沃柑并试种成功，主持沃柑在广西的品种审定，已获授权专利8项，其中发明专利1项,新型专利7项，主持制定8项沃柑广西标准，主编专著《广西沃柑生产技术与经营》，发表论文4篇。对科技创新点1、2、3做出了创造性贡献。</w:t>
            </w:r>
          </w:p>
        </w:tc>
      </w:tr>
      <w:tr w:rsidR="00890E22" w:rsidTr="00227EBB">
        <w:trPr>
          <w:trHeight w:val="1075"/>
        </w:trPr>
        <w:tc>
          <w:tcPr>
            <w:tcW w:w="675"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4</w:t>
            </w:r>
          </w:p>
        </w:tc>
        <w:tc>
          <w:tcPr>
            <w:tcW w:w="1276"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广西特色作物研究院</w:t>
            </w:r>
          </w:p>
        </w:tc>
        <w:tc>
          <w:tcPr>
            <w:tcW w:w="7796" w:type="dxa"/>
            <w:vAlign w:val="center"/>
          </w:tcPr>
          <w:p w:rsidR="00890E22" w:rsidRPr="00B32924" w:rsidRDefault="00890E22" w:rsidP="00227EBB">
            <w:pPr>
              <w:ind w:firstLineChars="200" w:firstLine="420"/>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在本项目取得如下技术创新：1.建立广西最大的柑橘种质资源保存圃，保存柑橘优新品种（系）486个，在广西首次引进、收集和保存茂谷柑、W.默科特、沃柑、夏橙、马水橘等晚熟柑橘品种22个，并进行植物学特性、物候期、果实品质、果实生长动态等特性观察分析，为晚熟柑橘新品种在广西推广应用提供技术支撑。2.对收集的晚熟柑橘新品种进行评价和筛选，筛选出茂谷柑、沃柑、W.默科特、佛罗斯特夏橙等综合性状优良的新品种，沃柑、茂谷柑等晚熟柑橘新品种在广西得到大面积推广种植，种植面积达160万亩，取得显著的经济效益。3.开展晚熟柑橘新品种选育研究，选育和审定柑橘新品种-桂夏橙1号。4. 成功建立了广西柑橘无病毒苗木繁育体系，柑橘黄龙病的危害得到有效的控制并取得较好的防控效果，黄龙病发病率控制在3%以内。5.制定《马水橘栽培技术规程》等4项广西地方标准，研发和推广矿物油+铜制剂防控柑橘溃疡病技术。6.通过对广西晚熟柑橘品种优化及配套关键技术攻关与应用，推动广西柑橘产业快速发展，为广西柑橘产量连续4年居全国第一作出较大贡献。对科技创新点1、2、3做出了创造性贡献。</w:t>
            </w:r>
          </w:p>
        </w:tc>
      </w:tr>
      <w:tr w:rsidR="00890E22" w:rsidTr="00227EBB">
        <w:trPr>
          <w:trHeight w:val="1075"/>
        </w:trPr>
        <w:tc>
          <w:tcPr>
            <w:tcW w:w="675"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5</w:t>
            </w:r>
          </w:p>
        </w:tc>
        <w:tc>
          <w:tcPr>
            <w:tcW w:w="1276"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四川省园艺作物技术推广总站（四川省优质农产品中心）</w:t>
            </w:r>
          </w:p>
        </w:tc>
        <w:tc>
          <w:tcPr>
            <w:tcW w:w="7796" w:type="dxa"/>
            <w:vAlign w:val="center"/>
          </w:tcPr>
          <w:p w:rsidR="00890E22" w:rsidRPr="00B32924" w:rsidRDefault="00890E22" w:rsidP="00227EBB">
            <w:pPr>
              <w:ind w:firstLineChars="200" w:firstLine="420"/>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四川省园艺作物技术推广总站，从80年代开始引种晚熟柑橘，1982年利用中日技术交流项目从日本引进默科特，1986年—1989年利用农牧渔业部柑橘无病毒良种苗木繁育建设项目引进橘橙、清见、血橙等，由于没法突破冬季落果枯水瓶颈问题未大规模发展。2012年开始，四川省园艺作物技术推广总站配合中国柑橘研究所，开展柑橘营养诊断和数据监测，探索晚熟柑橘落果枯水成因，最终攻克冻害，落果，枯水难题，之后在省内组织实 施晚熟柑橘产区晚熟柑橘保果防落防枯水综合技术培训及普及推广工作，利用农业部良繁基地建设、老果园改造、中央财政现代农业等资金，通过新栽和高接换种，发展杂柑、塔罗科新系，优化了品种区域布局，支撑晚 熟柑橘良种良地良法统一，实现四川晚熟柑橘产业井喷式发展，面积产量由2011年的35余万亩、21万吨，增加到2019年的205万亩、185万吨，分别增加6倍、</w:t>
            </w:r>
            <w:r w:rsidRPr="00B32924">
              <w:rPr>
                <w:rFonts w:asciiTheme="minorEastAsia" w:hAnsiTheme="minorEastAsia" w:cstheme="minorEastAsia" w:hint="eastAsia"/>
                <w:color w:val="0D0D0D"/>
                <w:szCs w:val="21"/>
              </w:rPr>
              <w:lastRenderedPageBreak/>
              <w:t>8倍。对科技创新点1、2、3做出了创造性贡献。</w:t>
            </w:r>
          </w:p>
        </w:tc>
      </w:tr>
      <w:tr w:rsidR="00890E22" w:rsidTr="00227EBB">
        <w:trPr>
          <w:trHeight w:val="1075"/>
        </w:trPr>
        <w:tc>
          <w:tcPr>
            <w:tcW w:w="675"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lastRenderedPageBreak/>
              <w:t>6</w:t>
            </w:r>
          </w:p>
        </w:tc>
        <w:tc>
          <w:tcPr>
            <w:tcW w:w="1276"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重庆派森百橙汁有限公司</w:t>
            </w:r>
          </w:p>
        </w:tc>
        <w:tc>
          <w:tcPr>
            <w:tcW w:w="7796" w:type="dxa"/>
            <w:vAlign w:val="center"/>
          </w:tcPr>
          <w:p w:rsidR="00890E22" w:rsidRPr="00B32924" w:rsidRDefault="00890E22" w:rsidP="00227EBB">
            <w:pPr>
              <w:ind w:firstLineChars="200" w:firstLine="420"/>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公司始建于2003年，是中国第一家NFC原榨橙汁生产商。公司选用全球最先进的美国布朗锥汁设备，全程冷链生产工艺。2004年被国家发改委、科技部授予“NFC橙汁示范生产线”。截止目前已获批及在申请专利117项。NFC橙汁不仅对原料果有严格的要求，为确保橙汁原香、新鲜和营养，更要求24小时内完成从采摘到加工。因此，早、中、晩熟配套的甜橙标准化专属原料基地是派森百第一车间。三峡派森百20年砺一剑，建设了从一粒种子到一杯橙汁的全产业链。举办柑橘果农技术培训班600余场次，参训人员6万余人次。 2008年，派森百进入中南海、人民大会堂；2009年国庆60周年天安门阅兵，2015年抗战胜利70周年阅兵、2017年一带一路峰会，派森百均为专供饮品：从2009到2018派森百连续十年成为人民大会堂国庆招待会专供饮 品，需要大量晚熟夏橙原料果，用于稳定橙汁品质。1、大力建设柑橘早中晚熟配套生产基地，从2011年--2019年，共销售柑橘苗木190万株，1138万元。其中夏橙 等晚熟品种占80%。 2、2011年公司加工柑橘鲜果3万吨，2019年公司加工柑橘鲜果5万吨，随着晚熟柑橘夏橙的逐步投产，每年加工期从3个月延长到5个月，加工量从3万吨提高到5万吨鲜果。从2011年--2019年底共加工柑橘鲜果37万吨，实现销售额15亿元，加工果中2/5是夏橙，通过市场拉动了晚熟夏橙的稳定发展。</w:t>
            </w:r>
          </w:p>
        </w:tc>
      </w:tr>
      <w:tr w:rsidR="00890E22" w:rsidTr="00227EBB">
        <w:trPr>
          <w:trHeight w:val="1075"/>
        </w:trPr>
        <w:tc>
          <w:tcPr>
            <w:tcW w:w="675"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7</w:t>
            </w:r>
          </w:p>
        </w:tc>
        <w:tc>
          <w:tcPr>
            <w:tcW w:w="1276" w:type="dxa"/>
            <w:vAlign w:val="center"/>
          </w:tcPr>
          <w:p w:rsidR="00890E22" w:rsidRPr="00B32924" w:rsidRDefault="00890E22" w:rsidP="00227EBB">
            <w:pPr>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重庆绿康果业有限公司</w:t>
            </w:r>
          </w:p>
        </w:tc>
        <w:tc>
          <w:tcPr>
            <w:tcW w:w="7796" w:type="dxa"/>
            <w:vAlign w:val="center"/>
          </w:tcPr>
          <w:p w:rsidR="00890E22" w:rsidRPr="00B32924" w:rsidRDefault="00890E22" w:rsidP="00227EBB">
            <w:pPr>
              <w:ind w:firstLineChars="200" w:firstLine="420"/>
              <w:rPr>
                <w:rFonts w:asciiTheme="minorEastAsia" w:hAnsiTheme="minorEastAsia" w:cstheme="minorEastAsia"/>
                <w:color w:val="0D0D0D"/>
                <w:szCs w:val="21"/>
              </w:rPr>
            </w:pPr>
            <w:r w:rsidRPr="00B32924">
              <w:rPr>
                <w:rFonts w:asciiTheme="minorEastAsia" w:hAnsiTheme="minorEastAsia" w:cstheme="minorEastAsia" w:hint="eastAsia"/>
                <w:color w:val="0D0D0D"/>
                <w:szCs w:val="21"/>
              </w:rPr>
              <w:t>公司创建于2000年6月，注册资本880万元，员工300余人。重庆市柑橘无病毒苗木定点育苗单位，长期以来致力于柑桔脱毒良种苗木的繁育和推广，是集果树育种、苗木繁育、优质果品生产及销售于一体的国家柑橘育繁推一体示范企业。 作为重庆市柑桔无病毒三级良种繁育体系重点育苗企业，企业建设了实验室1000平方米、温网室11000平方米 、无病毒母本园350亩、采穗圃150亩、品种选育圃100亩、育苗场1000亩，示范基地5000亩，育苗基础设施配套 齐全。公司与中国农科院柑桔研究所种质资源圃、重庆市农业农村委等长期合作，合作培育测试“沃柑”等新 品种，其中4个通过省级品种审定，并依托项目单位，在广西、云南等地大规模推广沃柑等良种无病毒容器苗木，取得巨大成绩，在全国推广种植沃柑达300多万亩，成为中国柑桔界新品种推广的奇迹。继沃柑推广后，公司目前与中国农科院柑桔研究所国家柑橘资源圃共同培育推出杂柑新品种华美系列，重庆、四川、贵州、 广西、云南、湖南、湖北、江西等省大面积引种和栽植，在市场上赢得了较高的声誉。 2016-2019年期间，我公司应用本项目技术，累计繁育推广柑橘苗木数量超过1100万株，其中销往市（省 ）外的苗木800余万株，其中晚熟柑橘苗木数量超过700万株，累计实现晚熟柑橘销售额9000万元，新增利润 1130万元。</w:t>
            </w:r>
          </w:p>
        </w:tc>
      </w:tr>
    </w:tbl>
    <w:p w:rsidR="00455128" w:rsidRDefault="00455128">
      <w:pPr>
        <w:widowControl/>
        <w:jc w:val="left"/>
        <w:rPr>
          <w:rFonts w:hint="eastAsia"/>
          <w:b/>
          <w:sz w:val="28"/>
          <w:szCs w:val="28"/>
        </w:rPr>
      </w:pPr>
    </w:p>
    <w:sectPr w:rsidR="004551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04E" w:rsidRDefault="0046304E" w:rsidP="00273E13">
      <w:r>
        <w:separator/>
      </w:r>
    </w:p>
  </w:endnote>
  <w:endnote w:type="continuationSeparator" w:id="0">
    <w:p w:rsidR="0046304E" w:rsidRDefault="0046304E" w:rsidP="00273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04E" w:rsidRDefault="0046304E" w:rsidP="00273E13">
      <w:r>
        <w:separator/>
      </w:r>
    </w:p>
  </w:footnote>
  <w:footnote w:type="continuationSeparator" w:id="0">
    <w:p w:rsidR="0046304E" w:rsidRDefault="0046304E" w:rsidP="00273E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4C319C"/>
    <w:multiLevelType w:val="hybridMultilevel"/>
    <w:tmpl w:val="6E54E73A"/>
    <w:lvl w:ilvl="0" w:tplc="E7B0EC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9A04481"/>
    <w:multiLevelType w:val="hybridMultilevel"/>
    <w:tmpl w:val="1726901C"/>
    <w:lvl w:ilvl="0" w:tplc="2DC64F8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960"/>
    <w:rsid w:val="0001475C"/>
    <w:rsid w:val="00036335"/>
    <w:rsid w:val="000A5A44"/>
    <w:rsid w:val="000A608F"/>
    <w:rsid w:val="00106AA2"/>
    <w:rsid w:val="00117405"/>
    <w:rsid w:val="00145240"/>
    <w:rsid w:val="00273E13"/>
    <w:rsid w:val="00275EBC"/>
    <w:rsid w:val="00277910"/>
    <w:rsid w:val="00297EE0"/>
    <w:rsid w:val="002F5E7B"/>
    <w:rsid w:val="00341C3C"/>
    <w:rsid w:val="003504FD"/>
    <w:rsid w:val="003E2602"/>
    <w:rsid w:val="00455128"/>
    <w:rsid w:val="0046304E"/>
    <w:rsid w:val="00485960"/>
    <w:rsid w:val="004D11CE"/>
    <w:rsid w:val="004D533D"/>
    <w:rsid w:val="00510499"/>
    <w:rsid w:val="005211B2"/>
    <w:rsid w:val="005461BE"/>
    <w:rsid w:val="00570593"/>
    <w:rsid w:val="00575AB9"/>
    <w:rsid w:val="005961DA"/>
    <w:rsid w:val="005B3D1A"/>
    <w:rsid w:val="00656286"/>
    <w:rsid w:val="00695556"/>
    <w:rsid w:val="006B6EC7"/>
    <w:rsid w:val="006C084D"/>
    <w:rsid w:val="006D2961"/>
    <w:rsid w:val="007316F5"/>
    <w:rsid w:val="00734F74"/>
    <w:rsid w:val="007F0543"/>
    <w:rsid w:val="007F450C"/>
    <w:rsid w:val="007F4596"/>
    <w:rsid w:val="00826F4B"/>
    <w:rsid w:val="00890E22"/>
    <w:rsid w:val="008B5199"/>
    <w:rsid w:val="00942828"/>
    <w:rsid w:val="009C73CA"/>
    <w:rsid w:val="009D1887"/>
    <w:rsid w:val="009D4D7E"/>
    <w:rsid w:val="009F43F1"/>
    <w:rsid w:val="00A3324D"/>
    <w:rsid w:val="00A629C2"/>
    <w:rsid w:val="00A90A2A"/>
    <w:rsid w:val="00A91631"/>
    <w:rsid w:val="00A931CD"/>
    <w:rsid w:val="00BF235B"/>
    <w:rsid w:val="00C15E3D"/>
    <w:rsid w:val="00C21E25"/>
    <w:rsid w:val="00C46245"/>
    <w:rsid w:val="00D13D91"/>
    <w:rsid w:val="00D60A04"/>
    <w:rsid w:val="00D65EB7"/>
    <w:rsid w:val="00DB39C0"/>
    <w:rsid w:val="00DC3CDD"/>
    <w:rsid w:val="00DD5ACC"/>
    <w:rsid w:val="00DE30D1"/>
    <w:rsid w:val="00DE5940"/>
    <w:rsid w:val="00E26AA6"/>
    <w:rsid w:val="00E759D6"/>
    <w:rsid w:val="00EB6BA8"/>
    <w:rsid w:val="00F6748E"/>
    <w:rsid w:val="00FB2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0094F8-1D26-47B4-AA35-A3FBCBDC0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961"/>
    <w:pPr>
      <w:widowControl w:val="0"/>
      <w:jc w:val="both"/>
    </w:pPr>
    <w:rPr>
      <w:rFonts w:ascii="Times New Roman" w:eastAsia="宋体" w:hAnsi="Times New Roman" w:cs="Times New Roman"/>
      <w:szCs w:val="24"/>
    </w:rPr>
  </w:style>
  <w:style w:type="paragraph" w:styleId="3">
    <w:name w:val="heading 3"/>
    <w:basedOn w:val="a"/>
    <w:next w:val="a"/>
    <w:link w:val="3Char"/>
    <w:qFormat/>
    <w:rsid w:val="00DC3CDD"/>
    <w:pPr>
      <w:spacing w:before="100" w:beforeAutospacing="1" w:after="100" w:afterAutospacing="1"/>
      <w:jc w:val="left"/>
      <w:outlineLvl w:val="2"/>
    </w:pPr>
    <w:rPr>
      <w:rFonts w:ascii="宋体" w:hAnsi="宋体" w:hint="eastAsia"/>
      <w:b/>
      <w:kern w:val="0"/>
      <w:sz w:val="27"/>
      <w:szCs w:val="27"/>
    </w:rPr>
  </w:style>
  <w:style w:type="paragraph" w:styleId="4">
    <w:name w:val="heading 4"/>
    <w:basedOn w:val="a"/>
    <w:next w:val="a"/>
    <w:link w:val="4Char"/>
    <w:uiPriority w:val="9"/>
    <w:semiHidden/>
    <w:unhideWhenUsed/>
    <w:qFormat/>
    <w:rsid w:val="00A931C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0363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aliases w:val="普通文字"/>
    <w:basedOn w:val="a"/>
    <w:link w:val="Char"/>
    <w:qFormat/>
    <w:rsid w:val="00036335"/>
    <w:pPr>
      <w:spacing w:line="360" w:lineRule="auto"/>
      <w:ind w:firstLineChars="200" w:firstLine="480"/>
    </w:pPr>
    <w:rPr>
      <w:rFonts w:ascii="仿宋_GB2312"/>
      <w:sz w:val="24"/>
      <w:szCs w:val="20"/>
    </w:rPr>
  </w:style>
  <w:style w:type="character" w:customStyle="1" w:styleId="Char">
    <w:name w:val="纯文本 Char"/>
    <w:aliases w:val="普通文字 Char1"/>
    <w:basedOn w:val="a0"/>
    <w:link w:val="a4"/>
    <w:qFormat/>
    <w:rsid w:val="00036335"/>
    <w:rPr>
      <w:rFonts w:ascii="仿宋_GB2312" w:eastAsia="宋体" w:hAnsi="Times New Roman" w:cs="Times New Roman"/>
      <w:sz w:val="24"/>
      <w:szCs w:val="20"/>
    </w:rPr>
  </w:style>
  <w:style w:type="paragraph" w:styleId="a5">
    <w:name w:val="List Paragraph"/>
    <w:basedOn w:val="a"/>
    <w:uiPriority w:val="99"/>
    <w:qFormat/>
    <w:rsid w:val="00036335"/>
    <w:pPr>
      <w:ind w:firstLineChars="200" w:firstLine="420"/>
    </w:pPr>
  </w:style>
  <w:style w:type="character" w:customStyle="1" w:styleId="Char1">
    <w:name w:val="纯文本 Char1"/>
    <w:aliases w:val="普通文字 Char"/>
    <w:basedOn w:val="a0"/>
    <w:uiPriority w:val="99"/>
    <w:rsid w:val="003504FD"/>
    <w:rPr>
      <w:rFonts w:ascii="仿宋_GB2312" w:eastAsia="宋体" w:hAnsi="Times New Roman" w:cs="Times New Roman"/>
      <w:sz w:val="24"/>
      <w:szCs w:val="20"/>
    </w:rPr>
  </w:style>
  <w:style w:type="paragraph" w:styleId="a6">
    <w:name w:val="header"/>
    <w:basedOn w:val="a"/>
    <w:link w:val="Char0"/>
    <w:uiPriority w:val="99"/>
    <w:unhideWhenUsed/>
    <w:rsid w:val="00273E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273E13"/>
    <w:rPr>
      <w:rFonts w:ascii="Times New Roman" w:eastAsia="宋体" w:hAnsi="Times New Roman" w:cs="Times New Roman"/>
      <w:sz w:val="18"/>
      <w:szCs w:val="18"/>
    </w:rPr>
  </w:style>
  <w:style w:type="paragraph" w:styleId="a7">
    <w:name w:val="footer"/>
    <w:basedOn w:val="a"/>
    <w:link w:val="Char2"/>
    <w:uiPriority w:val="99"/>
    <w:unhideWhenUsed/>
    <w:rsid w:val="00273E13"/>
    <w:pPr>
      <w:tabs>
        <w:tab w:val="center" w:pos="4153"/>
        <w:tab w:val="right" w:pos="8306"/>
      </w:tabs>
      <w:snapToGrid w:val="0"/>
      <w:jc w:val="left"/>
    </w:pPr>
    <w:rPr>
      <w:sz w:val="18"/>
      <w:szCs w:val="18"/>
    </w:rPr>
  </w:style>
  <w:style w:type="character" w:customStyle="1" w:styleId="Char2">
    <w:name w:val="页脚 Char"/>
    <w:basedOn w:val="a0"/>
    <w:link w:val="a7"/>
    <w:uiPriority w:val="99"/>
    <w:rsid w:val="00273E13"/>
    <w:rPr>
      <w:rFonts w:ascii="Times New Roman" w:eastAsia="宋体" w:hAnsi="Times New Roman" w:cs="Times New Roman"/>
      <w:sz w:val="18"/>
      <w:szCs w:val="18"/>
    </w:rPr>
  </w:style>
  <w:style w:type="character" w:customStyle="1" w:styleId="3Char">
    <w:name w:val="标题 3 Char"/>
    <w:basedOn w:val="a0"/>
    <w:link w:val="3"/>
    <w:rsid w:val="00DC3CDD"/>
    <w:rPr>
      <w:rFonts w:ascii="宋体" w:eastAsia="宋体" w:hAnsi="宋体" w:cs="Times New Roman"/>
      <w:b/>
      <w:kern w:val="0"/>
      <w:sz w:val="27"/>
      <w:szCs w:val="27"/>
    </w:rPr>
  </w:style>
  <w:style w:type="character" w:customStyle="1" w:styleId="a8">
    <w:name w:val="纯文本 字符"/>
    <w:qFormat/>
    <w:rsid w:val="00DC3CDD"/>
    <w:rPr>
      <w:rFonts w:ascii="仿宋_GB2312" w:eastAsia="宋体" w:hAnsi="Calibri" w:cs="Times New Roman"/>
      <w:kern w:val="2"/>
      <w:sz w:val="24"/>
    </w:rPr>
  </w:style>
  <w:style w:type="paragraph" w:styleId="a9">
    <w:name w:val="Body Text Indent"/>
    <w:basedOn w:val="a"/>
    <w:link w:val="Char3"/>
    <w:semiHidden/>
    <w:qFormat/>
    <w:rsid w:val="00DC3CDD"/>
    <w:pPr>
      <w:ind w:firstLine="660"/>
    </w:pPr>
    <w:rPr>
      <w:rFonts w:eastAsia="仿宋_GB2312" w:cs="Calibri"/>
      <w:sz w:val="32"/>
      <w:szCs w:val="20"/>
    </w:rPr>
  </w:style>
  <w:style w:type="character" w:customStyle="1" w:styleId="Char3">
    <w:name w:val="正文文本缩进 Char"/>
    <w:basedOn w:val="a0"/>
    <w:link w:val="a9"/>
    <w:semiHidden/>
    <w:rsid w:val="00DC3CDD"/>
    <w:rPr>
      <w:rFonts w:ascii="Times New Roman" w:eastAsia="仿宋_GB2312" w:hAnsi="Times New Roman" w:cs="Calibri"/>
      <w:sz w:val="32"/>
      <w:szCs w:val="20"/>
    </w:rPr>
  </w:style>
  <w:style w:type="paragraph" w:styleId="aa">
    <w:name w:val="Normal Indent"/>
    <w:basedOn w:val="a"/>
    <w:unhideWhenUsed/>
    <w:qFormat/>
    <w:rsid w:val="00DC3CDD"/>
    <w:pPr>
      <w:ind w:firstLineChars="200" w:firstLine="420"/>
    </w:pPr>
    <w:rPr>
      <w:rFonts w:cs="Calibri"/>
      <w:szCs w:val="21"/>
    </w:rPr>
  </w:style>
  <w:style w:type="paragraph" w:customStyle="1" w:styleId="Style8">
    <w:name w:val="_Style 8"/>
    <w:basedOn w:val="a"/>
    <w:next w:val="a"/>
    <w:rsid w:val="00890E22"/>
    <w:pPr>
      <w:spacing w:line="360" w:lineRule="auto"/>
      <w:ind w:firstLineChars="200" w:firstLine="480"/>
    </w:pPr>
    <w:rPr>
      <w:rFonts w:ascii="仿宋_GB2312"/>
      <w:sz w:val="24"/>
      <w:szCs w:val="20"/>
    </w:rPr>
  </w:style>
  <w:style w:type="character" w:customStyle="1" w:styleId="4Char">
    <w:name w:val="标题 4 Char"/>
    <w:basedOn w:val="a0"/>
    <w:link w:val="4"/>
    <w:uiPriority w:val="9"/>
    <w:semiHidden/>
    <w:rsid w:val="00A931CD"/>
    <w:rPr>
      <w:rFonts w:asciiTheme="majorHAnsi" w:eastAsiaTheme="majorEastAsia" w:hAnsiTheme="majorHAnsi" w:cstheme="majorBidi"/>
      <w:b/>
      <w:bCs/>
      <w:sz w:val="28"/>
      <w:szCs w:val="28"/>
    </w:rPr>
  </w:style>
  <w:style w:type="paragraph" w:styleId="ab">
    <w:name w:val="Normal (Web)"/>
    <w:basedOn w:val="a"/>
    <w:qFormat/>
    <w:rsid w:val="00A931CD"/>
    <w:pPr>
      <w:spacing w:line="330" w:lineRule="atLeast"/>
      <w:jc w:val="left"/>
    </w:pPr>
    <w:rPr>
      <w:rFonts w:ascii="Calibri" w:hAnsi="Calibri"/>
      <w:kern w:val="0"/>
      <w:sz w:val="18"/>
      <w:szCs w:val="18"/>
    </w:rPr>
  </w:style>
  <w:style w:type="paragraph" w:customStyle="1" w:styleId="Default">
    <w:name w:val="Default"/>
    <w:qFormat/>
    <w:rsid w:val="00C21E25"/>
    <w:pPr>
      <w:widowControl w:val="0"/>
      <w:autoSpaceDE w:val="0"/>
      <w:autoSpaceDN w:val="0"/>
      <w:adjustRightInd w:val="0"/>
    </w:pPr>
    <w:rPr>
      <w:rFonts w:ascii="黑体" w:eastAsia="黑体" w:cs="黑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1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7DCAD-E96B-4447-869F-9EE14E0B7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7</Pages>
  <Words>1156</Words>
  <Characters>6591</Characters>
  <Application>Microsoft Office Word</Application>
  <DocSecurity>0</DocSecurity>
  <Lines>54</Lines>
  <Paragraphs>15</Paragraphs>
  <ScaleCrop>false</ScaleCrop>
  <Company>Microsoft</Company>
  <LinksUpToDate>false</LinksUpToDate>
  <CharactersWithSpaces>7732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刘玲</dc:creator>
  <cp:keywords/>
  <dc:description/>
  <cp:lastModifiedBy>hp</cp:lastModifiedBy>
  <cp:revision>76</cp:revision>
  <dcterms:created xsi:type="dcterms:W3CDTF">2020-01-02T06:57:00Z</dcterms:created>
  <dcterms:modified xsi:type="dcterms:W3CDTF">2020-01-10T03:19:00Z</dcterms:modified>
</cp:coreProperties>
</file>